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91373">
      <w:pPr>
        <w:spacing w:line="560" w:lineRule="exact"/>
        <w:rPr>
          <w:rStyle w:val="18"/>
          <w:rFonts w:hint="default"/>
          <w:lang w:bidi="ar"/>
        </w:rPr>
      </w:pPr>
      <w:bookmarkStart w:id="0" w:name="_GoBack"/>
      <w:bookmarkEnd w:id="0"/>
      <w:r>
        <w:rPr>
          <w:rStyle w:val="17"/>
          <w:rFonts w:hint="default"/>
          <w:lang w:bidi="ar"/>
        </w:rPr>
        <w:t>附件2</w:t>
      </w:r>
      <w:r>
        <w:rPr>
          <w:rStyle w:val="18"/>
          <w:rFonts w:hint="default"/>
          <w:lang w:bidi="ar"/>
        </w:rPr>
        <w:t xml:space="preserve"> </w:t>
      </w:r>
    </w:p>
    <w:p w14:paraId="28479207">
      <w:pPr>
        <w:spacing w:line="560" w:lineRule="exact"/>
        <w:rPr>
          <w:rStyle w:val="18"/>
          <w:rFonts w:hint="default"/>
          <w:lang w:bidi="ar"/>
        </w:rPr>
      </w:pPr>
    </w:p>
    <w:tbl>
      <w:tblPr>
        <w:tblStyle w:val="8"/>
        <w:tblW w:w="14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59"/>
        <w:gridCol w:w="640"/>
        <w:gridCol w:w="1811"/>
        <w:gridCol w:w="2543"/>
        <w:gridCol w:w="1947"/>
        <w:gridCol w:w="4327"/>
        <w:gridCol w:w="1701"/>
      </w:tblGrid>
      <w:tr w14:paraId="6763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80" w:type="dxa"/>
            <w:gridSpan w:val="8"/>
            <w:shd w:val="clear" w:color="auto" w:fill="auto"/>
            <w:vAlign w:val="center"/>
          </w:tcPr>
          <w:p w14:paraId="2CFB8D0B">
            <w:pPr>
              <w:widowControl/>
              <w:jc w:val="left"/>
              <w:textAlignment w:val="center"/>
              <w:rPr>
                <w:rFonts w:ascii="宋体" w:hAnsi="宋体" w:eastAsia="宋体" w:cs="宋体"/>
                <w:b/>
                <w:bCs/>
                <w:color w:val="000000"/>
                <w:sz w:val="32"/>
                <w:szCs w:val="32"/>
              </w:rPr>
            </w:pPr>
            <w:r>
              <w:rPr>
                <w:rStyle w:val="18"/>
                <w:rFonts w:hint="default"/>
                <w:lang w:bidi="ar"/>
              </w:rPr>
              <w:t xml:space="preserve">               电信普遍服务补助资金转移支付区域（项目）绩效目标自评表</w:t>
            </w:r>
            <w:r>
              <w:rPr>
                <w:rStyle w:val="17"/>
                <w:rFonts w:hint="default"/>
                <w:lang w:bidi="ar"/>
              </w:rPr>
              <w:t xml:space="preserve"> </w:t>
            </w:r>
          </w:p>
        </w:tc>
      </w:tr>
      <w:tr w14:paraId="2657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480" w:type="dxa"/>
            <w:gridSpan w:val="8"/>
            <w:shd w:val="clear" w:color="auto" w:fill="auto"/>
          </w:tcPr>
          <w:p w14:paraId="5F82CFCD">
            <w:pPr>
              <w:widowControl/>
              <w:jc w:val="center"/>
              <w:textAlignment w:val="top"/>
              <w:rPr>
                <w:rFonts w:ascii="宋体" w:hAnsi="宋体" w:eastAsia="宋体" w:cs="宋体"/>
                <w:color w:val="000000"/>
                <w:sz w:val="22"/>
              </w:rPr>
            </w:pPr>
            <w:r>
              <w:rPr>
                <w:rFonts w:hint="eastAsia" w:ascii="宋体" w:hAnsi="宋体" w:eastAsia="宋体" w:cs="宋体"/>
                <w:color w:val="000000"/>
                <w:kern w:val="0"/>
                <w:sz w:val="22"/>
                <w:lang w:bidi="ar"/>
              </w:rPr>
              <w:t>（2024年度）</w:t>
            </w:r>
          </w:p>
        </w:tc>
      </w:tr>
      <w:tr w14:paraId="123C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51" w:type="dxa"/>
            <w:gridSpan w:val="3"/>
            <w:shd w:val="clear" w:color="auto" w:fill="auto"/>
            <w:vAlign w:val="center"/>
          </w:tcPr>
          <w:p w14:paraId="02567A11">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专项（项目）</w:t>
            </w:r>
          </w:p>
          <w:p w14:paraId="5DF12E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名称</w:t>
            </w:r>
          </w:p>
        </w:tc>
        <w:tc>
          <w:tcPr>
            <w:tcW w:w="12329" w:type="dxa"/>
            <w:gridSpan w:val="5"/>
            <w:shd w:val="clear" w:color="auto" w:fill="auto"/>
            <w:vAlign w:val="center"/>
          </w:tcPr>
          <w:p w14:paraId="0A81C3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r>
              <w:rPr>
                <w:rStyle w:val="19"/>
                <w:rFonts w:hint="default"/>
                <w:lang w:bidi="ar"/>
              </w:rPr>
              <w:t>24年度电信普遍服务项目</w:t>
            </w:r>
          </w:p>
        </w:tc>
      </w:tr>
      <w:tr w14:paraId="2E9D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51" w:type="dxa"/>
            <w:gridSpan w:val="3"/>
            <w:shd w:val="clear" w:color="auto" w:fill="auto"/>
            <w:vAlign w:val="center"/>
          </w:tcPr>
          <w:p w14:paraId="4A1C2A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中央主管部门</w:t>
            </w:r>
          </w:p>
        </w:tc>
        <w:tc>
          <w:tcPr>
            <w:tcW w:w="12329" w:type="dxa"/>
            <w:gridSpan w:val="5"/>
            <w:shd w:val="clear" w:color="auto" w:fill="auto"/>
            <w:vAlign w:val="center"/>
          </w:tcPr>
          <w:p w14:paraId="2752FB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中华人民共和国工业和信息化部</w:t>
            </w:r>
          </w:p>
        </w:tc>
      </w:tr>
      <w:tr w14:paraId="4A96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151" w:type="dxa"/>
            <w:gridSpan w:val="3"/>
            <w:shd w:val="clear" w:color="auto" w:fill="auto"/>
            <w:vAlign w:val="center"/>
          </w:tcPr>
          <w:p w14:paraId="2CC77A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地方主管部门</w:t>
            </w:r>
          </w:p>
        </w:tc>
        <w:tc>
          <w:tcPr>
            <w:tcW w:w="4354" w:type="dxa"/>
            <w:gridSpan w:val="2"/>
            <w:shd w:val="clear" w:color="auto" w:fill="auto"/>
            <w:vAlign w:val="center"/>
          </w:tcPr>
          <w:p w14:paraId="73111AD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四川省通信管理局</w:t>
            </w:r>
          </w:p>
        </w:tc>
        <w:tc>
          <w:tcPr>
            <w:tcW w:w="1947" w:type="dxa"/>
            <w:shd w:val="clear" w:color="auto" w:fill="auto"/>
            <w:vAlign w:val="center"/>
          </w:tcPr>
          <w:p w14:paraId="61C1B5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资金使用单位</w:t>
            </w:r>
          </w:p>
        </w:tc>
        <w:tc>
          <w:tcPr>
            <w:tcW w:w="4327" w:type="dxa"/>
            <w:shd w:val="clear" w:color="auto" w:fill="auto"/>
            <w:vAlign w:val="center"/>
          </w:tcPr>
          <w:p w14:paraId="3AD9C55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中国电信集团有限公司四川分公司；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中国移动通信集团四川有限公司；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中国联合网络通信有限公司四川分公司</w:t>
            </w:r>
          </w:p>
        </w:tc>
        <w:tc>
          <w:tcPr>
            <w:tcW w:w="1701" w:type="dxa"/>
            <w:shd w:val="clear" w:color="auto" w:fill="auto"/>
            <w:vAlign w:val="center"/>
          </w:tcPr>
          <w:p w14:paraId="166CE66A">
            <w:pPr>
              <w:jc w:val="center"/>
              <w:rPr>
                <w:rFonts w:ascii="宋体" w:hAnsi="宋体" w:eastAsia="宋体" w:cs="宋体"/>
                <w:color w:val="000000"/>
                <w:sz w:val="20"/>
                <w:szCs w:val="20"/>
              </w:rPr>
            </w:pPr>
          </w:p>
        </w:tc>
      </w:tr>
      <w:tr w14:paraId="6348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51" w:type="dxa"/>
            <w:gridSpan w:val="3"/>
            <w:vMerge w:val="restart"/>
            <w:shd w:val="clear" w:color="auto" w:fill="auto"/>
            <w:vAlign w:val="center"/>
          </w:tcPr>
          <w:p w14:paraId="2C413B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项目资金（万元）</w:t>
            </w:r>
          </w:p>
        </w:tc>
        <w:tc>
          <w:tcPr>
            <w:tcW w:w="1811" w:type="dxa"/>
            <w:shd w:val="clear" w:color="auto" w:fill="auto"/>
            <w:vAlign w:val="center"/>
          </w:tcPr>
          <w:p w14:paraId="3910EDBE">
            <w:pPr>
              <w:rPr>
                <w:rFonts w:ascii="宋体" w:hAnsi="宋体" w:eastAsia="宋体" w:cs="宋体"/>
                <w:color w:val="000000"/>
                <w:sz w:val="20"/>
                <w:szCs w:val="20"/>
              </w:rPr>
            </w:pPr>
          </w:p>
        </w:tc>
        <w:tc>
          <w:tcPr>
            <w:tcW w:w="2543" w:type="dxa"/>
            <w:shd w:val="clear" w:color="auto" w:fill="auto"/>
            <w:vAlign w:val="center"/>
          </w:tcPr>
          <w:p w14:paraId="5E0C8C4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全年预算数（A）</w:t>
            </w:r>
          </w:p>
        </w:tc>
        <w:tc>
          <w:tcPr>
            <w:tcW w:w="6274" w:type="dxa"/>
            <w:gridSpan w:val="2"/>
            <w:shd w:val="clear" w:color="auto" w:fill="auto"/>
            <w:vAlign w:val="center"/>
          </w:tcPr>
          <w:p w14:paraId="2983436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全年执行数（B）</w:t>
            </w:r>
          </w:p>
        </w:tc>
        <w:tc>
          <w:tcPr>
            <w:tcW w:w="1701" w:type="dxa"/>
            <w:shd w:val="clear" w:color="auto" w:fill="auto"/>
            <w:vAlign w:val="center"/>
          </w:tcPr>
          <w:p w14:paraId="239D95C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执行率（B/A)</w:t>
            </w:r>
          </w:p>
        </w:tc>
      </w:tr>
      <w:tr w14:paraId="433E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2151" w:type="dxa"/>
            <w:gridSpan w:val="3"/>
            <w:vMerge w:val="continue"/>
            <w:shd w:val="clear" w:color="auto" w:fill="auto"/>
            <w:vAlign w:val="center"/>
          </w:tcPr>
          <w:p w14:paraId="7068B76D">
            <w:pPr>
              <w:jc w:val="center"/>
              <w:rPr>
                <w:rFonts w:ascii="宋体" w:hAnsi="宋体" w:eastAsia="宋体" w:cs="宋体"/>
                <w:color w:val="000000"/>
                <w:sz w:val="20"/>
                <w:szCs w:val="20"/>
              </w:rPr>
            </w:pPr>
          </w:p>
        </w:tc>
        <w:tc>
          <w:tcPr>
            <w:tcW w:w="1811" w:type="dxa"/>
            <w:shd w:val="clear" w:color="auto" w:fill="auto"/>
            <w:vAlign w:val="center"/>
          </w:tcPr>
          <w:p w14:paraId="4B3F5C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年度资金总额：</w:t>
            </w:r>
          </w:p>
        </w:tc>
        <w:tc>
          <w:tcPr>
            <w:tcW w:w="2543" w:type="dxa"/>
            <w:shd w:val="clear" w:color="auto" w:fill="auto"/>
            <w:vAlign w:val="center"/>
          </w:tcPr>
          <w:p w14:paraId="47A7029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15384.5886</w:t>
            </w:r>
            <w:r>
              <w:rPr>
                <w:rFonts w:hint="eastAsia" w:ascii="宋体" w:hAnsi="宋体" w:eastAsia="宋体" w:cs="宋体"/>
                <w:color w:val="000000"/>
                <w:kern w:val="0"/>
                <w:sz w:val="20"/>
                <w:szCs w:val="20"/>
                <w:lang w:bidi="ar"/>
              </w:rPr>
              <w:br w:type="textWrapping"/>
            </w:r>
            <w:r>
              <w:rPr>
                <w:rStyle w:val="19"/>
                <w:lang w:bidi="ar"/>
              </w:rPr>
              <w:t>（统筹利用2023年度电信普遍服务项目招标结余资金3.5886万元，纳入该批次项目统一推进，实施任务量较批复任务量多1个5G基站</w:t>
            </w:r>
            <w:r>
              <w:rPr>
                <w:rStyle w:val="19"/>
                <w:rFonts w:hint="default"/>
                <w:lang w:bidi="ar"/>
              </w:rPr>
              <w:t>，合计建设506个4G</w:t>
            </w:r>
            <w:r>
              <w:rPr>
                <w:rStyle w:val="19"/>
                <w:rFonts w:hint="eastAsia" w:eastAsia="宋体"/>
                <w:lang w:eastAsia="zh-CN" w:bidi="ar"/>
              </w:rPr>
              <w:t>基站</w:t>
            </w:r>
            <w:r>
              <w:rPr>
                <w:rStyle w:val="19"/>
                <w:rFonts w:hint="default"/>
                <w:lang w:bidi="ar"/>
              </w:rPr>
              <w:t>和571个5G基站）</w:t>
            </w:r>
          </w:p>
        </w:tc>
        <w:tc>
          <w:tcPr>
            <w:tcW w:w="6274" w:type="dxa"/>
            <w:gridSpan w:val="2"/>
            <w:shd w:val="clear" w:color="auto" w:fill="auto"/>
            <w:vAlign w:val="center"/>
          </w:tcPr>
          <w:p w14:paraId="4BBE29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15382.5886</w:t>
            </w:r>
            <w:r>
              <w:rPr>
                <w:rStyle w:val="19"/>
                <w:rFonts w:hint="default"/>
                <w:lang w:bidi="ar"/>
              </w:rPr>
              <w:br w:type="textWrapping"/>
            </w:r>
            <w:r>
              <w:rPr>
                <w:rStyle w:val="19"/>
                <w:rFonts w:hint="default"/>
                <w:lang w:bidi="ar"/>
              </w:rPr>
              <w:t>（该批次项目中标金额为15382.5886万元，公开招投标结余资金2万元。按照《电信普遍服务补助资金管理办法》，</w:t>
            </w:r>
            <w:r>
              <w:rPr>
                <w:rStyle w:val="20"/>
                <w:rFonts w:hint="default"/>
                <w:lang w:bidi="ar"/>
              </w:rPr>
              <w:t>根据《四川省2025年度电信普遍服务项目工作会商会纪要》（会议纪要〔2025〕3号）</w:t>
            </w:r>
            <w:r>
              <w:rPr>
                <w:rStyle w:val="19"/>
                <w:rFonts w:hint="default"/>
                <w:lang w:bidi="ar"/>
              </w:rPr>
              <w:t>，统筹该批次招标剩余2万元，纳入2025年度电信普遍服务项目</w:t>
            </w:r>
            <w:r>
              <w:rPr>
                <w:rStyle w:val="19"/>
                <w:rFonts w:hint="eastAsia" w:eastAsia="宋体"/>
                <w:lang w:eastAsia="zh-CN" w:bidi="ar"/>
              </w:rPr>
              <w:t>统一推进</w:t>
            </w:r>
            <w:r>
              <w:rPr>
                <w:rStyle w:val="19"/>
                <w:rFonts w:hint="default"/>
                <w:lang w:bidi="ar"/>
              </w:rPr>
              <w:t>）</w:t>
            </w:r>
          </w:p>
        </w:tc>
        <w:tc>
          <w:tcPr>
            <w:tcW w:w="1701" w:type="dxa"/>
            <w:shd w:val="clear" w:color="auto" w:fill="auto"/>
            <w:vAlign w:val="center"/>
          </w:tcPr>
          <w:p w14:paraId="025827F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99.99%</w:t>
            </w:r>
          </w:p>
        </w:tc>
      </w:tr>
      <w:tr w14:paraId="555E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151" w:type="dxa"/>
            <w:gridSpan w:val="3"/>
            <w:vMerge w:val="continue"/>
            <w:shd w:val="clear" w:color="auto" w:fill="auto"/>
            <w:vAlign w:val="center"/>
          </w:tcPr>
          <w:p w14:paraId="6451B7CA">
            <w:pPr>
              <w:jc w:val="center"/>
              <w:rPr>
                <w:rFonts w:ascii="宋体" w:hAnsi="宋体" w:eastAsia="宋体" w:cs="宋体"/>
                <w:color w:val="000000"/>
                <w:sz w:val="20"/>
                <w:szCs w:val="20"/>
              </w:rPr>
            </w:pPr>
          </w:p>
        </w:tc>
        <w:tc>
          <w:tcPr>
            <w:tcW w:w="1811" w:type="dxa"/>
            <w:shd w:val="clear" w:color="auto" w:fill="auto"/>
            <w:vAlign w:val="center"/>
          </w:tcPr>
          <w:p w14:paraId="38BC048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Style w:val="19"/>
                <w:rFonts w:hint="default"/>
                <w:lang w:bidi="ar"/>
              </w:rPr>
              <w:t>其中：中央补助</w:t>
            </w:r>
          </w:p>
        </w:tc>
        <w:tc>
          <w:tcPr>
            <w:tcW w:w="2543" w:type="dxa"/>
            <w:shd w:val="clear" w:color="auto" w:fill="auto"/>
            <w:noWrap/>
            <w:vAlign w:val="center"/>
          </w:tcPr>
          <w:p w14:paraId="3584B1B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15381</w:t>
            </w:r>
          </w:p>
        </w:tc>
        <w:tc>
          <w:tcPr>
            <w:tcW w:w="6274" w:type="dxa"/>
            <w:gridSpan w:val="2"/>
            <w:shd w:val="clear" w:color="auto" w:fill="auto"/>
            <w:vAlign w:val="center"/>
          </w:tcPr>
          <w:p w14:paraId="65865B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15379</w:t>
            </w:r>
          </w:p>
        </w:tc>
        <w:tc>
          <w:tcPr>
            <w:tcW w:w="1701" w:type="dxa"/>
            <w:shd w:val="clear" w:color="auto" w:fill="auto"/>
            <w:noWrap/>
            <w:vAlign w:val="center"/>
          </w:tcPr>
          <w:p w14:paraId="5811AC0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99.99%</w:t>
            </w:r>
          </w:p>
        </w:tc>
      </w:tr>
      <w:tr w14:paraId="15A3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51" w:type="dxa"/>
            <w:gridSpan w:val="3"/>
            <w:vMerge w:val="continue"/>
            <w:shd w:val="clear" w:color="auto" w:fill="auto"/>
            <w:vAlign w:val="center"/>
          </w:tcPr>
          <w:p w14:paraId="3FFDB2E0">
            <w:pPr>
              <w:jc w:val="center"/>
              <w:rPr>
                <w:rFonts w:ascii="宋体" w:hAnsi="宋体" w:eastAsia="宋体" w:cs="宋体"/>
                <w:color w:val="000000"/>
                <w:sz w:val="20"/>
                <w:szCs w:val="20"/>
              </w:rPr>
            </w:pPr>
          </w:p>
        </w:tc>
        <w:tc>
          <w:tcPr>
            <w:tcW w:w="1811" w:type="dxa"/>
            <w:shd w:val="clear" w:color="auto" w:fill="auto"/>
            <w:vAlign w:val="center"/>
          </w:tcPr>
          <w:p w14:paraId="566D1A1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Style w:val="19"/>
                <w:rFonts w:hint="default"/>
                <w:lang w:bidi="ar"/>
              </w:rPr>
              <w:t xml:space="preserve">      地方资金</w:t>
            </w:r>
          </w:p>
        </w:tc>
        <w:tc>
          <w:tcPr>
            <w:tcW w:w="2543" w:type="dxa"/>
            <w:shd w:val="clear" w:color="auto" w:fill="auto"/>
            <w:vAlign w:val="center"/>
          </w:tcPr>
          <w:p w14:paraId="5E6864F5">
            <w:pPr>
              <w:jc w:val="center"/>
              <w:rPr>
                <w:rFonts w:ascii="宋体" w:hAnsi="宋体" w:eastAsia="宋体" w:cs="宋体"/>
                <w:color w:val="000000"/>
                <w:sz w:val="20"/>
                <w:szCs w:val="20"/>
              </w:rPr>
            </w:pPr>
          </w:p>
        </w:tc>
        <w:tc>
          <w:tcPr>
            <w:tcW w:w="6274" w:type="dxa"/>
            <w:gridSpan w:val="2"/>
            <w:shd w:val="clear" w:color="auto" w:fill="auto"/>
            <w:vAlign w:val="center"/>
          </w:tcPr>
          <w:p w14:paraId="77389691">
            <w:pPr>
              <w:jc w:val="center"/>
              <w:rPr>
                <w:rFonts w:ascii="宋体" w:hAnsi="宋体" w:eastAsia="宋体" w:cs="宋体"/>
                <w:color w:val="000000"/>
                <w:sz w:val="20"/>
                <w:szCs w:val="20"/>
              </w:rPr>
            </w:pPr>
          </w:p>
        </w:tc>
        <w:tc>
          <w:tcPr>
            <w:tcW w:w="1701" w:type="dxa"/>
            <w:shd w:val="clear" w:color="auto" w:fill="auto"/>
            <w:noWrap/>
            <w:vAlign w:val="center"/>
          </w:tcPr>
          <w:p w14:paraId="6446FE2C">
            <w:pPr>
              <w:jc w:val="center"/>
              <w:rPr>
                <w:rFonts w:ascii="宋体" w:hAnsi="宋体" w:eastAsia="宋体" w:cs="宋体"/>
                <w:color w:val="000000"/>
                <w:sz w:val="20"/>
                <w:szCs w:val="20"/>
              </w:rPr>
            </w:pPr>
          </w:p>
        </w:tc>
      </w:tr>
      <w:tr w14:paraId="7805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1" w:type="dxa"/>
            <w:gridSpan w:val="3"/>
            <w:vMerge w:val="continue"/>
            <w:shd w:val="clear" w:color="auto" w:fill="auto"/>
            <w:vAlign w:val="center"/>
          </w:tcPr>
          <w:p w14:paraId="15D1AE81">
            <w:pPr>
              <w:jc w:val="center"/>
              <w:rPr>
                <w:rFonts w:ascii="宋体" w:hAnsi="宋体" w:eastAsia="宋体" w:cs="宋体"/>
                <w:color w:val="000000"/>
                <w:sz w:val="20"/>
                <w:szCs w:val="20"/>
              </w:rPr>
            </w:pPr>
          </w:p>
        </w:tc>
        <w:tc>
          <w:tcPr>
            <w:tcW w:w="1811" w:type="dxa"/>
            <w:shd w:val="clear" w:color="auto" w:fill="auto"/>
            <w:vAlign w:val="center"/>
          </w:tcPr>
          <w:p w14:paraId="44FF97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r>
              <w:rPr>
                <w:rStyle w:val="19"/>
                <w:rFonts w:hint="default"/>
                <w:lang w:bidi="ar"/>
              </w:rPr>
              <w:t>其他资金</w:t>
            </w:r>
          </w:p>
        </w:tc>
        <w:tc>
          <w:tcPr>
            <w:tcW w:w="2543" w:type="dxa"/>
            <w:shd w:val="clear" w:color="auto" w:fill="auto"/>
            <w:vAlign w:val="center"/>
          </w:tcPr>
          <w:p w14:paraId="5A6FEE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3.5886</w:t>
            </w:r>
          </w:p>
        </w:tc>
        <w:tc>
          <w:tcPr>
            <w:tcW w:w="6274" w:type="dxa"/>
            <w:gridSpan w:val="2"/>
            <w:shd w:val="clear" w:color="auto" w:fill="auto"/>
            <w:vAlign w:val="center"/>
          </w:tcPr>
          <w:p w14:paraId="4ECC986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3.5886</w:t>
            </w:r>
          </w:p>
        </w:tc>
        <w:tc>
          <w:tcPr>
            <w:tcW w:w="1701" w:type="dxa"/>
            <w:shd w:val="clear" w:color="auto" w:fill="auto"/>
            <w:noWrap/>
            <w:vAlign w:val="center"/>
          </w:tcPr>
          <w:p w14:paraId="6DA4EB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100.00%</w:t>
            </w:r>
          </w:p>
        </w:tc>
      </w:tr>
      <w:tr w14:paraId="1A28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1" w:type="dxa"/>
            <w:gridSpan w:val="3"/>
            <w:vMerge w:val="restart"/>
            <w:shd w:val="clear" w:color="auto" w:fill="auto"/>
            <w:vAlign w:val="center"/>
          </w:tcPr>
          <w:p w14:paraId="017171E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资金管理情况</w:t>
            </w:r>
          </w:p>
        </w:tc>
        <w:tc>
          <w:tcPr>
            <w:tcW w:w="1811" w:type="dxa"/>
            <w:shd w:val="clear" w:color="auto" w:fill="auto"/>
            <w:vAlign w:val="center"/>
          </w:tcPr>
          <w:p w14:paraId="5BF88F94">
            <w:pPr>
              <w:rPr>
                <w:rFonts w:ascii="宋体" w:hAnsi="宋体" w:eastAsia="宋体" w:cs="宋体"/>
                <w:color w:val="000000"/>
                <w:sz w:val="20"/>
                <w:szCs w:val="20"/>
              </w:rPr>
            </w:pPr>
          </w:p>
        </w:tc>
        <w:tc>
          <w:tcPr>
            <w:tcW w:w="8817" w:type="dxa"/>
            <w:gridSpan w:val="3"/>
            <w:shd w:val="clear" w:color="auto" w:fill="auto"/>
            <w:vAlign w:val="center"/>
          </w:tcPr>
          <w:p w14:paraId="4FBBBF8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情况说明</w:t>
            </w:r>
          </w:p>
        </w:tc>
        <w:tc>
          <w:tcPr>
            <w:tcW w:w="1701" w:type="dxa"/>
            <w:shd w:val="clear" w:color="auto" w:fill="auto"/>
            <w:vAlign w:val="center"/>
          </w:tcPr>
          <w:p w14:paraId="576E0E6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存在问题和改进措施</w:t>
            </w:r>
          </w:p>
        </w:tc>
      </w:tr>
      <w:tr w14:paraId="28FB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1" w:type="dxa"/>
            <w:gridSpan w:val="3"/>
            <w:vMerge w:val="continue"/>
            <w:shd w:val="clear" w:color="auto" w:fill="auto"/>
            <w:vAlign w:val="center"/>
          </w:tcPr>
          <w:p w14:paraId="7B650603">
            <w:pPr>
              <w:jc w:val="center"/>
              <w:rPr>
                <w:rFonts w:ascii="宋体" w:hAnsi="宋体" w:eastAsia="宋体" w:cs="宋体"/>
                <w:color w:val="000000"/>
                <w:sz w:val="20"/>
                <w:szCs w:val="20"/>
              </w:rPr>
            </w:pPr>
          </w:p>
        </w:tc>
        <w:tc>
          <w:tcPr>
            <w:tcW w:w="1811" w:type="dxa"/>
            <w:shd w:val="clear" w:color="auto" w:fill="auto"/>
            <w:vAlign w:val="center"/>
          </w:tcPr>
          <w:p w14:paraId="63F5CAD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分配科学性</w:t>
            </w:r>
          </w:p>
        </w:tc>
        <w:tc>
          <w:tcPr>
            <w:tcW w:w="8817" w:type="dxa"/>
            <w:gridSpan w:val="3"/>
            <w:shd w:val="clear" w:color="auto" w:fill="auto"/>
            <w:vAlign w:val="center"/>
          </w:tcPr>
          <w:p w14:paraId="0FDB0F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分配科学</w:t>
            </w:r>
          </w:p>
        </w:tc>
        <w:tc>
          <w:tcPr>
            <w:tcW w:w="1701" w:type="dxa"/>
            <w:shd w:val="clear" w:color="auto" w:fill="auto"/>
            <w:vAlign w:val="center"/>
          </w:tcPr>
          <w:p w14:paraId="105A32BA">
            <w:pPr>
              <w:jc w:val="center"/>
              <w:rPr>
                <w:rFonts w:ascii="宋体" w:hAnsi="宋体" w:eastAsia="宋体" w:cs="宋体"/>
                <w:color w:val="000000"/>
                <w:sz w:val="20"/>
                <w:szCs w:val="20"/>
              </w:rPr>
            </w:pPr>
          </w:p>
        </w:tc>
      </w:tr>
      <w:tr w14:paraId="680B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1" w:type="dxa"/>
            <w:gridSpan w:val="3"/>
            <w:vMerge w:val="continue"/>
            <w:shd w:val="clear" w:color="auto" w:fill="auto"/>
            <w:vAlign w:val="center"/>
          </w:tcPr>
          <w:p w14:paraId="735371A9">
            <w:pPr>
              <w:jc w:val="center"/>
              <w:rPr>
                <w:rFonts w:ascii="宋体" w:hAnsi="宋体" w:eastAsia="宋体" w:cs="宋体"/>
                <w:color w:val="000000"/>
                <w:sz w:val="20"/>
                <w:szCs w:val="20"/>
              </w:rPr>
            </w:pPr>
          </w:p>
        </w:tc>
        <w:tc>
          <w:tcPr>
            <w:tcW w:w="1811" w:type="dxa"/>
            <w:shd w:val="clear" w:color="auto" w:fill="auto"/>
            <w:vAlign w:val="center"/>
          </w:tcPr>
          <w:p w14:paraId="3C9F25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下达及时性</w:t>
            </w:r>
          </w:p>
        </w:tc>
        <w:tc>
          <w:tcPr>
            <w:tcW w:w="8817" w:type="dxa"/>
            <w:gridSpan w:val="3"/>
            <w:shd w:val="clear" w:color="auto" w:fill="auto"/>
            <w:vAlign w:val="center"/>
          </w:tcPr>
          <w:p w14:paraId="58D6496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下达及时</w:t>
            </w:r>
          </w:p>
        </w:tc>
        <w:tc>
          <w:tcPr>
            <w:tcW w:w="1701" w:type="dxa"/>
            <w:shd w:val="clear" w:color="auto" w:fill="auto"/>
            <w:vAlign w:val="center"/>
          </w:tcPr>
          <w:p w14:paraId="563433BE">
            <w:pPr>
              <w:jc w:val="center"/>
              <w:rPr>
                <w:rFonts w:ascii="宋体" w:hAnsi="宋体" w:eastAsia="宋体" w:cs="宋体"/>
                <w:color w:val="000000"/>
                <w:sz w:val="20"/>
                <w:szCs w:val="20"/>
              </w:rPr>
            </w:pPr>
          </w:p>
        </w:tc>
      </w:tr>
      <w:tr w14:paraId="6E6E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1" w:type="dxa"/>
            <w:gridSpan w:val="3"/>
            <w:vMerge w:val="continue"/>
            <w:shd w:val="clear" w:color="auto" w:fill="auto"/>
            <w:vAlign w:val="center"/>
          </w:tcPr>
          <w:p w14:paraId="4EF6E4AD">
            <w:pPr>
              <w:jc w:val="center"/>
              <w:rPr>
                <w:rFonts w:ascii="宋体" w:hAnsi="宋体" w:eastAsia="宋体" w:cs="宋体"/>
                <w:color w:val="000000"/>
                <w:sz w:val="20"/>
                <w:szCs w:val="20"/>
              </w:rPr>
            </w:pPr>
          </w:p>
        </w:tc>
        <w:tc>
          <w:tcPr>
            <w:tcW w:w="1811" w:type="dxa"/>
            <w:shd w:val="clear" w:color="auto" w:fill="auto"/>
            <w:vAlign w:val="center"/>
          </w:tcPr>
          <w:p w14:paraId="27BFBEE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拨付合规性</w:t>
            </w:r>
          </w:p>
        </w:tc>
        <w:tc>
          <w:tcPr>
            <w:tcW w:w="8817" w:type="dxa"/>
            <w:gridSpan w:val="3"/>
            <w:shd w:val="clear" w:color="auto" w:fill="auto"/>
            <w:vAlign w:val="center"/>
          </w:tcPr>
          <w:p w14:paraId="1CC339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拨付合规</w:t>
            </w:r>
          </w:p>
        </w:tc>
        <w:tc>
          <w:tcPr>
            <w:tcW w:w="1701" w:type="dxa"/>
            <w:shd w:val="clear" w:color="auto" w:fill="auto"/>
            <w:vAlign w:val="center"/>
          </w:tcPr>
          <w:p w14:paraId="6189A205">
            <w:pPr>
              <w:jc w:val="center"/>
              <w:rPr>
                <w:rFonts w:ascii="宋体" w:hAnsi="宋体" w:eastAsia="宋体" w:cs="宋体"/>
                <w:color w:val="000000"/>
                <w:sz w:val="20"/>
                <w:szCs w:val="20"/>
              </w:rPr>
            </w:pPr>
          </w:p>
        </w:tc>
      </w:tr>
      <w:tr w14:paraId="6B8E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1" w:type="dxa"/>
            <w:gridSpan w:val="3"/>
            <w:vMerge w:val="continue"/>
            <w:shd w:val="clear" w:color="auto" w:fill="auto"/>
            <w:vAlign w:val="center"/>
          </w:tcPr>
          <w:p w14:paraId="1C58CB04">
            <w:pPr>
              <w:jc w:val="center"/>
              <w:rPr>
                <w:rFonts w:ascii="宋体" w:hAnsi="宋体" w:eastAsia="宋体" w:cs="宋体"/>
                <w:color w:val="000000"/>
                <w:sz w:val="20"/>
                <w:szCs w:val="20"/>
              </w:rPr>
            </w:pPr>
          </w:p>
        </w:tc>
        <w:tc>
          <w:tcPr>
            <w:tcW w:w="1811" w:type="dxa"/>
            <w:shd w:val="clear" w:color="auto" w:fill="auto"/>
            <w:vAlign w:val="center"/>
          </w:tcPr>
          <w:p w14:paraId="715DA2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使用规范性</w:t>
            </w:r>
          </w:p>
        </w:tc>
        <w:tc>
          <w:tcPr>
            <w:tcW w:w="8817" w:type="dxa"/>
            <w:gridSpan w:val="3"/>
            <w:shd w:val="clear" w:color="auto" w:fill="auto"/>
            <w:vAlign w:val="center"/>
          </w:tcPr>
          <w:p w14:paraId="7FAA1F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使用规范</w:t>
            </w:r>
          </w:p>
        </w:tc>
        <w:tc>
          <w:tcPr>
            <w:tcW w:w="1701" w:type="dxa"/>
            <w:shd w:val="clear" w:color="auto" w:fill="auto"/>
            <w:vAlign w:val="center"/>
          </w:tcPr>
          <w:p w14:paraId="2B7353E1">
            <w:pPr>
              <w:jc w:val="center"/>
              <w:rPr>
                <w:rFonts w:ascii="宋体" w:hAnsi="宋体" w:eastAsia="宋体" w:cs="宋体"/>
                <w:color w:val="000000"/>
                <w:sz w:val="20"/>
                <w:szCs w:val="20"/>
              </w:rPr>
            </w:pPr>
          </w:p>
        </w:tc>
      </w:tr>
      <w:tr w14:paraId="4A2C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1" w:type="dxa"/>
            <w:gridSpan w:val="3"/>
            <w:vMerge w:val="continue"/>
            <w:shd w:val="clear" w:color="auto" w:fill="auto"/>
            <w:vAlign w:val="center"/>
          </w:tcPr>
          <w:p w14:paraId="39B2BA29">
            <w:pPr>
              <w:jc w:val="center"/>
              <w:rPr>
                <w:rFonts w:ascii="宋体" w:hAnsi="宋体" w:eastAsia="宋体" w:cs="宋体"/>
                <w:color w:val="000000"/>
                <w:sz w:val="20"/>
                <w:szCs w:val="20"/>
              </w:rPr>
            </w:pPr>
          </w:p>
        </w:tc>
        <w:tc>
          <w:tcPr>
            <w:tcW w:w="1811" w:type="dxa"/>
            <w:shd w:val="clear" w:color="auto" w:fill="auto"/>
            <w:vAlign w:val="center"/>
          </w:tcPr>
          <w:p w14:paraId="2ADF28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执行准确性</w:t>
            </w:r>
          </w:p>
        </w:tc>
        <w:tc>
          <w:tcPr>
            <w:tcW w:w="8817" w:type="dxa"/>
            <w:gridSpan w:val="3"/>
            <w:shd w:val="clear" w:color="auto" w:fill="auto"/>
            <w:vAlign w:val="center"/>
          </w:tcPr>
          <w:p w14:paraId="3857795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执行准确</w:t>
            </w:r>
          </w:p>
        </w:tc>
        <w:tc>
          <w:tcPr>
            <w:tcW w:w="1701" w:type="dxa"/>
            <w:shd w:val="clear" w:color="auto" w:fill="auto"/>
            <w:vAlign w:val="center"/>
          </w:tcPr>
          <w:p w14:paraId="1888EB52">
            <w:pPr>
              <w:jc w:val="center"/>
              <w:rPr>
                <w:rFonts w:ascii="宋体" w:hAnsi="宋体" w:eastAsia="宋体" w:cs="宋体"/>
                <w:color w:val="000000"/>
                <w:sz w:val="20"/>
                <w:szCs w:val="20"/>
              </w:rPr>
            </w:pPr>
          </w:p>
        </w:tc>
      </w:tr>
      <w:tr w14:paraId="77F7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1" w:type="dxa"/>
            <w:gridSpan w:val="3"/>
            <w:vMerge w:val="continue"/>
            <w:shd w:val="clear" w:color="auto" w:fill="auto"/>
            <w:vAlign w:val="center"/>
          </w:tcPr>
          <w:p w14:paraId="16F9D6B7">
            <w:pPr>
              <w:jc w:val="center"/>
              <w:rPr>
                <w:rFonts w:ascii="宋体" w:hAnsi="宋体" w:eastAsia="宋体" w:cs="宋体"/>
                <w:color w:val="000000"/>
                <w:sz w:val="20"/>
                <w:szCs w:val="20"/>
              </w:rPr>
            </w:pPr>
          </w:p>
        </w:tc>
        <w:tc>
          <w:tcPr>
            <w:tcW w:w="1811" w:type="dxa"/>
            <w:shd w:val="clear" w:color="auto" w:fill="auto"/>
            <w:vAlign w:val="center"/>
          </w:tcPr>
          <w:p w14:paraId="048018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预算绩效管理情况</w:t>
            </w:r>
          </w:p>
        </w:tc>
        <w:tc>
          <w:tcPr>
            <w:tcW w:w="8817" w:type="dxa"/>
            <w:gridSpan w:val="3"/>
            <w:shd w:val="clear" w:color="auto" w:fill="auto"/>
            <w:vAlign w:val="center"/>
          </w:tcPr>
          <w:p w14:paraId="62125BA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按照《电信普遍服务补助资金管理办法》等文件要求，开展预算绩效管理</w:t>
            </w:r>
          </w:p>
        </w:tc>
        <w:tc>
          <w:tcPr>
            <w:tcW w:w="1701" w:type="dxa"/>
            <w:shd w:val="clear" w:color="auto" w:fill="auto"/>
            <w:vAlign w:val="center"/>
          </w:tcPr>
          <w:p w14:paraId="12C9BF4D">
            <w:pPr>
              <w:jc w:val="center"/>
              <w:rPr>
                <w:rFonts w:ascii="宋体" w:hAnsi="宋体" w:eastAsia="宋体" w:cs="宋体"/>
                <w:color w:val="000000"/>
                <w:sz w:val="20"/>
                <w:szCs w:val="20"/>
              </w:rPr>
            </w:pPr>
          </w:p>
        </w:tc>
      </w:tr>
      <w:tr w14:paraId="7AE4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1" w:type="dxa"/>
            <w:gridSpan w:val="3"/>
            <w:vMerge w:val="continue"/>
            <w:shd w:val="clear" w:color="auto" w:fill="auto"/>
            <w:vAlign w:val="center"/>
          </w:tcPr>
          <w:p w14:paraId="72D5B723">
            <w:pPr>
              <w:jc w:val="center"/>
              <w:rPr>
                <w:rFonts w:ascii="宋体" w:hAnsi="宋体" w:eastAsia="宋体" w:cs="宋体"/>
                <w:color w:val="000000"/>
                <w:sz w:val="20"/>
                <w:szCs w:val="20"/>
              </w:rPr>
            </w:pPr>
          </w:p>
        </w:tc>
        <w:tc>
          <w:tcPr>
            <w:tcW w:w="1811" w:type="dxa"/>
            <w:shd w:val="clear" w:color="auto" w:fill="auto"/>
            <w:vAlign w:val="center"/>
          </w:tcPr>
          <w:p w14:paraId="6EA2FE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支出责任履行情况</w:t>
            </w:r>
          </w:p>
        </w:tc>
        <w:tc>
          <w:tcPr>
            <w:tcW w:w="8817" w:type="dxa"/>
            <w:gridSpan w:val="3"/>
            <w:shd w:val="clear" w:color="auto" w:fill="auto"/>
            <w:vAlign w:val="center"/>
          </w:tcPr>
          <w:p w14:paraId="6AFCEA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按照《电信普遍服务补助资金管理办法》等文件要求，履行支出责任</w:t>
            </w:r>
          </w:p>
        </w:tc>
        <w:tc>
          <w:tcPr>
            <w:tcW w:w="1701" w:type="dxa"/>
            <w:shd w:val="clear" w:color="auto" w:fill="auto"/>
            <w:vAlign w:val="center"/>
          </w:tcPr>
          <w:p w14:paraId="7FC27636">
            <w:pPr>
              <w:jc w:val="center"/>
              <w:rPr>
                <w:rFonts w:ascii="宋体" w:hAnsi="宋体" w:eastAsia="宋体" w:cs="宋体"/>
                <w:color w:val="000000"/>
                <w:sz w:val="20"/>
                <w:szCs w:val="20"/>
              </w:rPr>
            </w:pPr>
          </w:p>
        </w:tc>
      </w:tr>
      <w:tr w14:paraId="73A9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52" w:type="dxa"/>
            <w:vMerge w:val="restart"/>
            <w:shd w:val="clear" w:color="auto" w:fill="auto"/>
            <w:vAlign w:val="center"/>
          </w:tcPr>
          <w:p w14:paraId="70E4D3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总体目标完成情况</w:t>
            </w:r>
          </w:p>
        </w:tc>
        <w:tc>
          <w:tcPr>
            <w:tcW w:w="5653" w:type="dxa"/>
            <w:gridSpan w:val="4"/>
            <w:shd w:val="clear" w:color="auto" w:fill="auto"/>
            <w:vAlign w:val="center"/>
          </w:tcPr>
          <w:p w14:paraId="2010D61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总体目标</w:t>
            </w:r>
          </w:p>
        </w:tc>
        <w:tc>
          <w:tcPr>
            <w:tcW w:w="7975" w:type="dxa"/>
            <w:gridSpan w:val="3"/>
            <w:shd w:val="clear" w:color="auto" w:fill="auto"/>
            <w:vAlign w:val="center"/>
          </w:tcPr>
          <w:p w14:paraId="0349C28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全年实际完成情况</w:t>
            </w:r>
          </w:p>
        </w:tc>
      </w:tr>
      <w:tr w14:paraId="7792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852" w:type="dxa"/>
            <w:vMerge w:val="continue"/>
            <w:shd w:val="clear" w:color="auto" w:fill="auto"/>
            <w:vAlign w:val="center"/>
          </w:tcPr>
          <w:p w14:paraId="2FC23E40">
            <w:pPr>
              <w:jc w:val="center"/>
              <w:rPr>
                <w:rFonts w:ascii="宋体" w:hAnsi="宋体" w:eastAsia="宋体" w:cs="宋体"/>
                <w:color w:val="000000"/>
                <w:sz w:val="20"/>
                <w:szCs w:val="20"/>
              </w:rPr>
            </w:pPr>
          </w:p>
        </w:tc>
        <w:tc>
          <w:tcPr>
            <w:tcW w:w="5653" w:type="dxa"/>
            <w:gridSpan w:val="4"/>
            <w:shd w:val="clear" w:color="auto" w:fill="auto"/>
            <w:vAlign w:val="center"/>
          </w:tcPr>
          <w:p w14:paraId="7FA5107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目标1：中央补助资金及时拨付；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目标2：推进行政村4G和5G网络建设；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目标3：按合同要求完成基站建设任务。</w:t>
            </w:r>
          </w:p>
        </w:tc>
        <w:tc>
          <w:tcPr>
            <w:tcW w:w="7975" w:type="dxa"/>
            <w:gridSpan w:val="3"/>
            <w:shd w:val="clear" w:color="auto" w:fill="auto"/>
            <w:vAlign w:val="center"/>
          </w:tcPr>
          <w:p w14:paraId="080389A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1.中央补助资金及时拨付企业；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2.推进行政村4G和5G网络建设；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3.企业已按照合同约定提前</w:t>
            </w:r>
            <w:r>
              <w:rPr>
                <w:rStyle w:val="20"/>
                <w:rFonts w:hint="default"/>
                <w:lang w:bidi="ar"/>
              </w:rPr>
              <w:t>完成基站建设任务。</w:t>
            </w:r>
          </w:p>
        </w:tc>
      </w:tr>
      <w:tr w14:paraId="6A6E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2" w:type="dxa"/>
            <w:vMerge w:val="restart"/>
            <w:shd w:val="clear" w:color="auto" w:fill="auto"/>
            <w:textDirection w:val="tbRlV"/>
            <w:vAlign w:val="center"/>
          </w:tcPr>
          <w:p w14:paraId="21AE15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绩效指标</w:t>
            </w:r>
          </w:p>
        </w:tc>
        <w:tc>
          <w:tcPr>
            <w:tcW w:w="659" w:type="dxa"/>
            <w:shd w:val="clear" w:color="auto" w:fill="auto"/>
            <w:vAlign w:val="center"/>
          </w:tcPr>
          <w:p w14:paraId="3885E4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640" w:type="dxa"/>
            <w:shd w:val="clear" w:color="auto" w:fill="auto"/>
            <w:vAlign w:val="center"/>
          </w:tcPr>
          <w:p w14:paraId="5A798A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二级指标</w:t>
            </w:r>
          </w:p>
        </w:tc>
        <w:tc>
          <w:tcPr>
            <w:tcW w:w="4354" w:type="dxa"/>
            <w:gridSpan w:val="2"/>
            <w:shd w:val="clear" w:color="auto" w:fill="auto"/>
            <w:vAlign w:val="center"/>
          </w:tcPr>
          <w:p w14:paraId="04A6A4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1947" w:type="dxa"/>
            <w:shd w:val="clear" w:color="auto" w:fill="auto"/>
            <w:vAlign w:val="center"/>
          </w:tcPr>
          <w:p w14:paraId="67DDB4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年度指标值</w:t>
            </w:r>
          </w:p>
        </w:tc>
        <w:tc>
          <w:tcPr>
            <w:tcW w:w="4327" w:type="dxa"/>
            <w:shd w:val="clear" w:color="auto" w:fill="auto"/>
            <w:vAlign w:val="center"/>
          </w:tcPr>
          <w:p w14:paraId="46AD7EE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全年完成值</w:t>
            </w:r>
          </w:p>
        </w:tc>
        <w:tc>
          <w:tcPr>
            <w:tcW w:w="1701" w:type="dxa"/>
            <w:shd w:val="clear" w:color="auto" w:fill="auto"/>
            <w:vAlign w:val="center"/>
          </w:tcPr>
          <w:p w14:paraId="68D355F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未完成原因和改进措施</w:t>
            </w:r>
          </w:p>
        </w:tc>
      </w:tr>
      <w:tr w14:paraId="3528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52" w:type="dxa"/>
            <w:vMerge w:val="continue"/>
            <w:shd w:val="clear" w:color="auto" w:fill="auto"/>
            <w:textDirection w:val="tbRlV"/>
            <w:vAlign w:val="center"/>
          </w:tcPr>
          <w:p w14:paraId="33001B81">
            <w:pPr>
              <w:jc w:val="center"/>
              <w:rPr>
                <w:rFonts w:ascii="宋体" w:hAnsi="宋体" w:eastAsia="宋体" w:cs="宋体"/>
                <w:color w:val="000000"/>
                <w:sz w:val="20"/>
                <w:szCs w:val="20"/>
              </w:rPr>
            </w:pPr>
          </w:p>
        </w:tc>
        <w:tc>
          <w:tcPr>
            <w:tcW w:w="659" w:type="dxa"/>
            <w:vMerge w:val="restart"/>
            <w:shd w:val="clear" w:color="auto" w:fill="auto"/>
            <w:vAlign w:val="center"/>
          </w:tcPr>
          <w:p w14:paraId="3E50B4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w:t>
            </w:r>
          </w:p>
        </w:tc>
        <w:tc>
          <w:tcPr>
            <w:tcW w:w="640" w:type="dxa"/>
            <w:vMerge w:val="restart"/>
            <w:shd w:val="clear" w:color="auto" w:fill="auto"/>
            <w:vAlign w:val="center"/>
          </w:tcPr>
          <w:p w14:paraId="6F0317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数量指标</w:t>
            </w:r>
          </w:p>
        </w:tc>
        <w:tc>
          <w:tcPr>
            <w:tcW w:w="4354" w:type="dxa"/>
            <w:gridSpan w:val="2"/>
            <w:shd w:val="clear" w:color="auto" w:fill="auto"/>
            <w:vAlign w:val="center"/>
          </w:tcPr>
          <w:p w14:paraId="4319A24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部署行政村4G基站建设数量（个）</w:t>
            </w:r>
          </w:p>
        </w:tc>
        <w:tc>
          <w:tcPr>
            <w:tcW w:w="1947" w:type="dxa"/>
            <w:shd w:val="clear" w:color="auto" w:fill="auto"/>
            <w:vAlign w:val="center"/>
          </w:tcPr>
          <w:p w14:paraId="6275EB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506</w:t>
            </w:r>
          </w:p>
        </w:tc>
        <w:tc>
          <w:tcPr>
            <w:tcW w:w="4327" w:type="dxa"/>
            <w:shd w:val="clear" w:color="auto" w:fill="auto"/>
            <w:vAlign w:val="center"/>
          </w:tcPr>
          <w:p w14:paraId="778BCD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506</w:t>
            </w:r>
          </w:p>
        </w:tc>
        <w:tc>
          <w:tcPr>
            <w:tcW w:w="1701" w:type="dxa"/>
            <w:shd w:val="clear" w:color="auto" w:fill="auto"/>
            <w:vAlign w:val="center"/>
          </w:tcPr>
          <w:p w14:paraId="2A48BBEF">
            <w:pPr>
              <w:jc w:val="center"/>
              <w:rPr>
                <w:rFonts w:ascii="宋体" w:hAnsi="宋体" w:eastAsia="宋体" w:cs="宋体"/>
                <w:color w:val="000000"/>
                <w:sz w:val="20"/>
                <w:szCs w:val="20"/>
              </w:rPr>
            </w:pPr>
          </w:p>
        </w:tc>
      </w:tr>
      <w:tr w14:paraId="5ABB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52" w:type="dxa"/>
            <w:vMerge w:val="continue"/>
            <w:shd w:val="clear" w:color="auto" w:fill="auto"/>
            <w:textDirection w:val="tbRlV"/>
            <w:vAlign w:val="center"/>
          </w:tcPr>
          <w:p w14:paraId="4DCB912A">
            <w:pPr>
              <w:jc w:val="center"/>
              <w:rPr>
                <w:rFonts w:ascii="宋体" w:hAnsi="宋体" w:eastAsia="宋体" w:cs="宋体"/>
                <w:color w:val="000000"/>
                <w:sz w:val="20"/>
                <w:szCs w:val="20"/>
              </w:rPr>
            </w:pPr>
          </w:p>
        </w:tc>
        <w:tc>
          <w:tcPr>
            <w:tcW w:w="659" w:type="dxa"/>
            <w:vMerge w:val="continue"/>
            <w:shd w:val="clear" w:color="auto" w:fill="auto"/>
            <w:vAlign w:val="center"/>
          </w:tcPr>
          <w:p w14:paraId="4AE0F479">
            <w:pPr>
              <w:jc w:val="center"/>
              <w:rPr>
                <w:rFonts w:ascii="宋体" w:hAnsi="宋体" w:eastAsia="宋体" w:cs="宋体"/>
                <w:color w:val="000000"/>
                <w:sz w:val="20"/>
                <w:szCs w:val="20"/>
              </w:rPr>
            </w:pPr>
          </w:p>
        </w:tc>
        <w:tc>
          <w:tcPr>
            <w:tcW w:w="640" w:type="dxa"/>
            <w:vMerge w:val="continue"/>
            <w:shd w:val="clear" w:color="auto" w:fill="auto"/>
            <w:vAlign w:val="center"/>
          </w:tcPr>
          <w:p w14:paraId="0C7A1B81">
            <w:pPr>
              <w:jc w:val="center"/>
              <w:rPr>
                <w:rFonts w:ascii="宋体" w:hAnsi="宋体" w:eastAsia="宋体" w:cs="宋体"/>
                <w:color w:val="000000"/>
                <w:sz w:val="20"/>
                <w:szCs w:val="20"/>
              </w:rPr>
            </w:pPr>
          </w:p>
        </w:tc>
        <w:tc>
          <w:tcPr>
            <w:tcW w:w="4354" w:type="dxa"/>
            <w:gridSpan w:val="2"/>
            <w:shd w:val="clear" w:color="auto" w:fill="auto"/>
            <w:vAlign w:val="center"/>
          </w:tcPr>
          <w:p w14:paraId="55F551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部署行政5G基站建设数量（个）</w:t>
            </w:r>
          </w:p>
        </w:tc>
        <w:tc>
          <w:tcPr>
            <w:tcW w:w="1947" w:type="dxa"/>
            <w:shd w:val="clear" w:color="auto" w:fill="auto"/>
            <w:vAlign w:val="center"/>
          </w:tcPr>
          <w:p w14:paraId="5A1A937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570</w:t>
            </w:r>
          </w:p>
        </w:tc>
        <w:tc>
          <w:tcPr>
            <w:tcW w:w="4327" w:type="dxa"/>
            <w:shd w:val="clear" w:color="auto" w:fill="auto"/>
            <w:vAlign w:val="center"/>
          </w:tcPr>
          <w:p w14:paraId="5C14F7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571（因该批次项目统筹利用2023年度电信普遍服务项目招标结余资金3.5886万元，纳入该批次项目统一推进，实施任务量较批复任务量多1个5G基站）</w:t>
            </w:r>
          </w:p>
        </w:tc>
        <w:tc>
          <w:tcPr>
            <w:tcW w:w="1701" w:type="dxa"/>
            <w:shd w:val="clear" w:color="auto" w:fill="auto"/>
            <w:vAlign w:val="center"/>
          </w:tcPr>
          <w:p w14:paraId="53627226">
            <w:pPr>
              <w:jc w:val="center"/>
              <w:rPr>
                <w:rFonts w:ascii="宋体" w:hAnsi="宋体" w:eastAsia="宋体" w:cs="宋体"/>
                <w:color w:val="000000"/>
                <w:sz w:val="20"/>
                <w:szCs w:val="20"/>
              </w:rPr>
            </w:pPr>
          </w:p>
        </w:tc>
      </w:tr>
      <w:tr w14:paraId="1A91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2" w:type="dxa"/>
            <w:vMerge w:val="continue"/>
            <w:shd w:val="clear" w:color="auto" w:fill="auto"/>
            <w:textDirection w:val="tbRlV"/>
            <w:vAlign w:val="center"/>
          </w:tcPr>
          <w:p w14:paraId="23CEE814">
            <w:pPr>
              <w:jc w:val="center"/>
              <w:rPr>
                <w:rFonts w:ascii="宋体" w:hAnsi="宋体" w:eastAsia="宋体" w:cs="宋体"/>
                <w:color w:val="000000"/>
                <w:sz w:val="20"/>
                <w:szCs w:val="20"/>
              </w:rPr>
            </w:pPr>
          </w:p>
        </w:tc>
        <w:tc>
          <w:tcPr>
            <w:tcW w:w="659" w:type="dxa"/>
            <w:vMerge w:val="continue"/>
            <w:shd w:val="clear" w:color="auto" w:fill="auto"/>
            <w:vAlign w:val="center"/>
          </w:tcPr>
          <w:p w14:paraId="76904422">
            <w:pPr>
              <w:jc w:val="center"/>
              <w:rPr>
                <w:rFonts w:ascii="宋体" w:hAnsi="宋体" w:eastAsia="宋体" w:cs="宋体"/>
                <w:color w:val="000000"/>
                <w:sz w:val="20"/>
                <w:szCs w:val="20"/>
              </w:rPr>
            </w:pPr>
          </w:p>
        </w:tc>
        <w:tc>
          <w:tcPr>
            <w:tcW w:w="640" w:type="dxa"/>
            <w:vMerge w:val="restart"/>
            <w:shd w:val="clear" w:color="auto" w:fill="auto"/>
            <w:vAlign w:val="center"/>
          </w:tcPr>
          <w:p w14:paraId="6125C4C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质量指标</w:t>
            </w:r>
          </w:p>
        </w:tc>
        <w:tc>
          <w:tcPr>
            <w:tcW w:w="4354" w:type="dxa"/>
            <w:gridSpan w:val="2"/>
            <w:shd w:val="clear" w:color="auto" w:fill="auto"/>
            <w:noWrap/>
            <w:vAlign w:val="center"/>
          </w:tcPr>
          <w:p w14:paraId="1FFE9A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eastAsia="zh-CN" w:bidi="ar"/>
              </w:rPr>
              <w:t>完工</w:t>
            </w:r>
            <w:r>
              <w:rPr>
                <w:rFonts w:hint="eastAsia" w:ascii="宋体" w:hAnsi="宋体" w:eastAsia="宋体" w:cs="宋体"/>
                <w:color w:val="000000"/>
                <w:kern w:val="0"/>
                <w:sz w:val="20"/>
                <w:szCs w:val="20"/>
                <w:lang w:bidi="ar"/>
              </w:rPr>
              <w:t>项目验收合格率</w:t>
            </w:r>
          </w:p>
        </w:tc>
        <w:tc>
          <w:tcPr>
            <w:tcW w:w="1947" w:type="dxa"/>
            <w:shd w:val="clear" w:color="auto" w:fill="auto"/>
            <w:noWrap/>
            <w:vAlign w:val="center"/>
          </w:tcPr>
          <w:p w14:paraId="43AAB3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≥99%</w:t>
            </w:r>
          </w:p>
        </w:tc>
        <w:tc>
          <w:tcPr>
            <w:tcW w:w="4327" w:type="dxa"/>
            <w:shd w:val="clear" w:color="auto" w:fill="auto"/>
            <w:vAlign w:val="center"/>
          </w:tcPr>
          <w:p w14:paraId="39BCA0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100%（该指标为预计值</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eastAsia="zh-CN" w:bidi="ar"/>
              </w:rPr>
              <w:t>项目将</w:t>
            </w:r>
            <w:r>
              <w:rPr>
                <w:rFonts w:hint="eastAsia" w:ascii="宋体" w:hAnsi="宋体" w:eastAsia="宋体" w:cs="宋体"/>
                <w:color w:val="auto"/>
                <w:kern w:val="0"/>
                <w:sz w:val="20"/>
                <w:szCs w:val="20"/>
                <w:lang w:bidi="ar"/>
              </w:rPr>
              <w:t>于</w:t>
            </w:r>
            <w:r>
              <w:rPr>
                <w:rStyle w:val="20"/>
                <w:rFonts w:hint="default"/>
                <w:color w:val="auto"/>
                <w:lang w:bidi="ar"/>
              </w:rPr>
              <w:t>2025年</w:t>
            </w:r>
            <w:r>
              <w:rPr>
                <w:rStyle w:val="20"/>
                <w:rFonts w:hint="eastAsia" w:eastAsia="宋体"/>
                <w:color w:val="auto"/>
                <w:lang w:val="en-US" w:eastAsia="zh-CN" w:bidi="ar"/>
              </w:rPr>
              <w:t>9月底</w:t>
            </w:r>
            <w:r>
              <w:rPr>
                <w:rStyle w:val="20"/>
                <w:rFonts w:hint="default"/>
                <w:color w:val="auto"/>
                <w:lang w:bidi="ar"/>
              </w:rPr>
              <w:t>前</w:t>
            </w:r>
            <w:r>
              <w:rPr>
                <w:rStyle w:val="20"/>
                <w:rFonts w:hint="eastAsia" w:eastAsia="宋体"/>
                <w:color w:val="auto"/>
                <w:lang w:eastAsia="zh-CN" w:bidi="ar"/>
              </w:rPr>
              <w:t>完成竣工验收</w:t>
            </w:r>
            <w:r>
              <w:rPr>
                <w:rStyle w:val="20"/>
                <w:rFonts w:hint="default"/>
                <w:color w:val="auto"/>
                <w:lang w:bidi="ar"/>
              </w:rPr>
              <w:t>）</w:t>
            </w:r>
          </w:p>
        </w:tc>
        <w:tc>
          <w:tcPr>
            <w:tcW w:w="1701" w:type="dxa"/>
            <w:shd w:val="clear" w:color="auto" w:fill="auto"/>
            <w:vAlign w:val="center"/>
          </w:tcPr>
          <w:p w14:paraId="1F13761D">
            <w:pPr>
              <w:jc w:val="center"/>
              <w:rPr>
                <w:rFonts w:ascii="宋体" w:hAnsi="宋体" w:eastAsia="宋体" w:cs="宋体"/>
                <w:color w:val="000000"/>
                <w:sz w:val="20"/>
                <w:szCs w:val="20"/>
              </w:rPr>
            </w:pPr>
          </w:p>
        </w:tc>
      </w:tr>
      <w:tr w14:paraId="469E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vMerge w:val="continue"/>
            <w:shd w:val="clear" w:color="auto" w:fill="auto"/>
            <w:textDirection w:val="tbRlV"/>
            <w:vAlign w:val="center"/>
          </w:tcPr>
          <w:p w14:paraId="63239B25">
            <w:pPr>
              <w:jc w:val="center"/>
              <w:rPr>
                <w:rFonts w:ascii="宋体" w:hAnsi="宋体" w:eastAsia="宋体" w:cs="宋体"/>
                <w:color w:val="000000"/>
                <w:sz w:val="20"/>
                <w:szCs w:val="20"/>
              </w:rPr>
            </w:pPr>
          </w:p>
        </w:tc>
        <w:tc>
          <w:tcPr>
            <w:tcW w:w="659" w:type="dxa"/>
            <w:vMerge w:val="continue"/>
            <w:shd w:val="clear" w:color="auto" w:fill="auto"/>
            <w:vAlign w:val="center"/>
          </w:tcPr>
          <w:p w14:paraId="20BBE065">
            <w:pPr>
              <w:jc w:val="center"/>
              <w:rPr>
                <w:rFonts w:ascii="宋体" w:hAnsi="宋体" w:eastAsia="宋体" w:cs="宋体"/>
                <w:color w:val="000000"/>
                <w:sz w:val="20"/>
                <w:szCs w:val="20"/>
              </w:rPr>
            </w:pPr>
          </w:p>
        </w:tc>
        <w:tc>
          <w:tcPr>
            <w:tcW w:w="640" w:type="dxa"/>
            <w:vMerge w:val="continue"/>
            <w:shd w:val="clear" w:color="auto" w:fill="auto"/>
            <w:vAlign w:val="center"/>
          </w:tcPr>
          <w:p w14:paraId="3FCCA559">
            <w:pPr>
              <w:jc w:val="center"/>
              <w:rPr>
                <w:rFonts w:ascii="宋体" w:hAnsi="宋体" w:eastAsia="宋体" w:cs="宋体"/>
                <w:color w:val="000000"/>
                <w:sz w:val="20"/>
                <w:szCs w:val="20"/>
              </w:rPr>
            </w:pPr>
          </w:p>
        </w:tc>
        <w:tc>
          <w:tcPr>
            <w:tcW w:w="4354" w:type="dxa"/>
            <w:gridSpan w:val="2"/>
            <w:shd w:val="clear" w:color="auto" w:fill="auto"/>
            <w:vAlign w:val="center"/>
          </w:tcPr>
          <w:p w14:paraId="6D5673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资金使用合规性</w:t>
            </w:r>
          </w:p>
        </w:tc>
        <w:tc>
          <w:tcPr>
            <w:tcW w:w="1947" w:type="dxa"/>
            <w:shd w:val="clear" w:color="auto" w:fill="auto"/>
            <w:vAlign w:val="center"/>
          </w:tcPr>
          <w:p w14:paraId="6A943D4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4327" w:type="dxa"/>
            <w:shd w:val="clear" w:color="auto" w:fill="auto"/>
            <w:vAlign w:val="center"/>
          </w:tcPr>
          <w:p w14:paraId="06286DE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701" w:type="dxa"/>
            <w:shd w:val="clear" w:color="auto" w:fill="auto"/>
            <w:vAlign w:val="center"/>
          </w:tcPr>
          <w:p w14:paraId="4BC38B26">
            <w:pPr>
              <w:jc w:val="center"/>
              <w:rPr>
                <w:rFonts w:ascii="宋体" w:hAnsi="宋体" w:eastAsia="宋体" w:cs="宋体"/>
                <w:color w:val="000000"/>
                <w:sz w:val="20"/>
                <w:szCs w:val="20"/>
              </w:rPr>
            </w:pPr>
          </w:p>
        </w:tc>
      </w:tr>
      <w:tr w14:paraId="10F9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vMerge w:val="continue"/>
            <w:shd w:val="clear" w:color="auto" w:fill="auto"/>
            <w:textDirection w:val="tbRlV"/>
            <w:vAlign w:val="center"/>
          </w:tcPr>
          <w:p w14:paraId="27B1D460">
            <w:pPr>
              <w:jc w:val="center"/>
              <w:rPr>
                <w:rFonts w:ascii="宋体" w:hAnsi="宋体" w:eastAsia="宋体" w:cs="宋体"/>
                <w:color w:val="000000"/>
                <w:sz w:val="20"/>
                <w:szCs w:val="20"/>
              </w:rPr>
            </w:pPr>
          </w:p>
        </w:tc>
        <w:tc>
          <w:tcPr>
            <w:tcW w:w="659" w:type="dxa"/>
            <w:vMerge w:val="continue"/>
            <w:shd w:val="clear" w:color="auto" w:fill="auto"/>
            <w:vAlign w:val="center"/>
          </w:tcPr>
          <w:p w14:paraId="55D850C7">
            <w:pPr>
              <w:jc w:val="center"/>
              <w:rPr>
                <w:rFonts w:ascii="宋体" w:hAnsi="宋体" w:eastAsia="宋体" w:cs="宋体"/>
                <w:color w:val="000000"/>
                <w:sz w:val="20"/>
                <w:szCs w:val="20"/>
              </w:rPr>
            </w:pPr>
          </w:p>
        </w:tc>
        <w:tc>
          <w:tcPr>
            <w:tcW w:w="640" w:type="dxa"/>
            <w:vMerge w:val="continue"/>
            <w:shd w:val="clear" w:color="auto" w:fill="auto"/>
            <w:vAlign w:val="center"/>
          </w:tcPr>
          <w:p w14:paraId="3AC220AA">
            <w:pPr>
              <w:jc w:val="center"/>
              <w:rPr>
                <w:rFonts w:ascii="宋体" w:hAnsi="宋体" w:eastAsia="宋体" w:cs="宋体"/>
                <w:color w:val="000000"/>
                <w:sz w:val="20"/>
                <w:szCs w:val="20"/>
              </w:rPr>
            </w:pPr>
          </w:p>
        </w:tc>
        <w:tc>
          <w:tcPr>
            <w:tcW w:w="4354" w:type="dxa"/>
            <w:gridSpan w:val="2"/>
            <w:shd w:val="clear" w:color="auto" w:fill="auto"/>
            <w:vAlign w:val="center"/>
          </w:tcPr>
          <w:p w14:paraId="2A40D7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电信普遍服务基站运行稳定性</w:t>
            </w:r>
          </w:p>
        </w:tc>
        <w:tc>
          <w:tcPr>
            <w:tcW w:w="1947" w:type="dxa"/>
            <w:shd w:val="clear" w:color="auto" w:fill="auto"/>
            <w:vAlign w:val="center"/>
          </w:tcPr>
          <w:p w14:paraId="789A5BA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4327" w:type="dxa"/>
            <w:shd w:val="clear" w:color="auto" w:fill="auto"/>
            <w:vAlign w:val="center"/>
          </w:tcPr>
          <w:p w14:paraId="2DC4F3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1701" w:type="dxa"/>
            <w:shd w:val="clear" w:color="auto" w:fill="auto"/>
            <w:vAlign w:val="center"/>
          </w:tcPr>
          <w:p w14:paraId="060A23C5">
            <w:pPr>
              <w:jc w:val="center"/>
              <w:rPr>
                <w:rFonts w:ascii="宋体" w:hAnsi="宋体" w:eastAsia="宋体" w:cs="宋体"/>
                <w:color w:val="000000"/>
                <w:sz w:val="20"/>
                <w:szCs w:val="20"/>
              </w:rPr>
            </w:pPr>
          </w:p>
        </w:tc>
      </w:tr>
      <w:tr w14:paraId="543D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vMerge w:val="continue"/>
            <w:shd w:val="clear" w:color="auto" w:fill="auto"/>
            <w:textDirection w:val="tbRlV"/>
            <w:vAlign w:val="center"/>
          </w:tcPr>
          <w:p w14:paraId="1BC6C867">
            <w:pPr>
              <w:jc w:val="center"/>
              <w:rPr>
                <w:rFonts w:ascii="宋体" w:hAnsi="宋体" w:eastAsia="宋体" w:cs="宋体"/>
                <w:color w:val="000000"/>
                <w:sz w:val="20"/>
                <w:szCs w:val="20"/>
              </w:rPr>
            </w:pPr>
          </w:p>
        </w:tc>
        <w:tc>
          <w:tcPr>
            <w:tcW w:w="659" w:type="dxa"/>
            <w:vMerge w:val="continue"/>
            <w:shd w:val="clear" w:color="auto" w:fill="auto"/>
            <w:vAlign w:val="center"/>
          </w:tcPr>
          <w:p w14:paraId="5AF42030">
            <w:pPr>
              <w:jc w:val="center"/>
              <w:rPr>
                <w:rFonts w:ascii="宋体" w:hAnsi="宋体" w:eastAsia="宋体" w:cs="宋体"/>
                <w:color w:val="000000"/>
                <w:sz w:val="20"/>
                <w:szCs w:val="20"/>
              </w:rPr>
            </w:pPr>
          </w:p>
        </w:tc>
        <w:tc>
          <w:tcPr>
            <w:tcW w:w="640" w:type="dxa"/>
            <w:shd w:val="clear" w:color="auto" w:fill="auto"/>
            <w:vAlign w:val="center"/>
          </w:tcPr>
          <w:p w14:paraId="506275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时效指标</w:t>
            </w:r>
          </w:p>
        </w:tc>
        <w:tc>
          <w:tcPr>
            <w:tcW w:w="4354" w:type="dxa"/>
            <w:gridSpan w:val="2"/>
            <w:shd w:val="clear" w:color="auto" w:fill="auto"/>
            <w:vAlign w:val="center"/>
          </w:tcPr>
          <w:p w14:paraId="101D82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按期完工率</w:t>
            </w:r>
          </w:p>
        </w:tc>
        <w:tc>
          <w:tcPr>
            <w:tcW w:w="1947" w:type="dxa"/>
            <w:shd w:val="clear" w:color="auto" w:fill="auto"/>
            <w:vAlign w:val="center"/>
          </w:tcPr>
          <w:p w14:paraId="1042AE6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4327" w:type="dxa"/>
            <w:shd w:val="clear" w:color="auto" w:fill="auto"/>
            <w:vAlign w:val="center"/>
          </w:tcPr>
          <w:p w14:paraId="598840F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701" w:type="dxa"/>
            <w:shd w:val="clear" w:color="auto" w:fill="auto"/>
            <w:vAlign w:val="center"/>
          </w:tcPr>
          <w:p w14:paraId="3326EA37">
            <w:pPr>
              <w:jc w:val="center"/>
              <w:rPr>
                <w:rFonts w:ascii="宋体" w:hAnsi="宋体" w:eastAsia="宋体" w:cs="宋体"/>
                <w:color w:val="000000"/>
                <w:sz w:val="20"/>
                <w:szCs w:val="20"/>
              </w:rPr>
            </w:pPr>
          </w:p>
        </w:tc>
      </w:tr>
      <w:tr w14:paraId="469A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2" w:type="dxa"/>
            <w:vMerge w:val="continue"/>
            <w:shd w:val="clear" w:color="auto" w:fill="auto"/>
            <w:textDirection w:val="tbRlV"/>
            <w:vAlign w:val="center"/>
          </w:tcPr>
          <w:p w14:paraId="3CAC324D">
            <w:pPr>
              <w:jc w:val="center"/>
              <w:rPr>
                <w:rFonts w:ascii="宋体" w:hAnsi="宋体" w:eastAsia="宋体" w:cs="宋体"/>
                <w:color w:val="000000"/>
                <w:sz w:val="20"/>
                <w:szCs w:val="20"/>
              </w:rPr>
            </w:pPr>
          </w:p>
        </w:tc>
        <w:tc>
          <w:tcPr>
            <w:tcW w:w="659" w:type="dxa"/>
            <w:vMerge w:val="restart"/>
            <w:shd w:val="clear" w:color="auto" w:fill="auto"/>
            <w:vAlign w:val="center"/>
          </w:tcPr>
          <w:p w14:paraId="194C37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效益指标</w:t>
            </w:r>
          </w:p>
        </w:tc>
        <w:tc>
          <w:tcPr>
            <w:tcW w:w="640" w:type="dxa"/>
            <w:vMerge w:val="restart"/>
            <w:shd w:val="clear" w:color="auto" w:fill="auto"/>
            <w:vAlign w:val="center"/>
          </w:tcPr>
          <w:p w14:paraId="0E58F8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社会效益指标</w:t>
            </w:r>
          </w:p>
        </w:tc>
        <w:tc>
          <w:tcPr>
            <w:tcW w:w="4354" w:type="dxa"/>
            <w:gridSpan w:val="2"/>
            <w:shd w:val="clear" w:color="auto" w:fill="auto"/>
            <w:vAlign w:val="center"/>
          </w:tcPr>
          <w:p w14:paraId="0A0ACFF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行政村村委会、学校、卫生室等主要公共机构</w:t>
            </w:r>
            <w:r>
              <w:rPr>
                <w:rFonts w:hint="eastAsia" w:ascii="宋体" w:hAnsi="宋体" w:eastAsia="宋体" w:cs="宋体"/>
                <w:color w:val="000000"/>
                <w:kern w:val="0"/>
                <w:sz w:val="20"/>
                <w:szCs w:val="20"/>
                <w:lang w:eastAsia="zh-CN" w:bidi="ar"/>
              </w:rPr>
              <w:t>移动</w:t>
            </w:r>
            <w:r>
              <w:rPr>
                <w:rFonts w:hint="eastAsia" w:ascii="宋体" w:hAnsi="宋体" w:eastAsia="宋体" w:cs="宋体"/>
                <w:color w:val="000000"/>
                <w:kern w:val="0"/>
                <w:sz w:val="20"/>
                <w:szCs w:val="20"/>
                <w:lang w:bidi="ar"/>
              </w:rPr>
              <w:t>网络覆盖率</w:t>
            </w:r>
          </w:p>
        </w:tc>
        <w:tc>
          <w:tcPr>
            <w:tcW w:w="1947" w:type="dxa"/>
            <w:shd w:val="clear" w:color="auto" w:fill="auto"/>
            <w:vAlign w:val="center"/>
          </w:tcPr>
          <w:p w14:paraId="2002691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≥99%</w:t>
            </w:r>
          </w:p>
        </w:tc>
        <w:tc>
          <w:tcPr>
            <w:tcW w:w="4327" w:type="dxa"/>
            <w:shd w:val="clear" w:color="auto" w:fill="auto"/>
            <w:vAlign w:val="center"/>
          </w:tcPr>
          <w:p w14:paraId="31F01F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701" w:type="dxa"/>
            <w:shd w:val="clear" w:color="auto" w:fill="auto"/>
            <w:vAlign w:val="center"/>
          </w:tcPr>
          <w:p w14:paraId="686A1AE8">
            <w:pPr>
              <w:jc w:val="center"/>
              <w:rPr>
                <w:rFonts w:ascii="宋体" w:hAnsi="宋体" w:eastAsia="宋体" w:cs="宋体"/>
                <w:color w:val="000000"/>
                <w:sz w:val="20"/>
                <w:szCs w:val="20"/>
              </w:rPr>
            </w:pPr>
          </w:p>
        </w:tc>
      </w:tr>
      <w:tr w14:paraId="1C92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52" w:type="dxa"/>
            <w:vMerge w:val="continue"/>
            <w:shd w:val="clear" w:color="auto" w:fill="auto"/>
            <w:textDirection w:val="tbRlV"/>
            <w:vAlign w:val="center"/>
          </w:tcPr>
          <w:p w14:paraId="036200FA">
            <w:pPr>
              <w:jc w:val="center"/>
              <w:rPr>
                <w:rFonts w:ascii="宋体" w:hAnsi="宋体" w:eastAsia="宋体" w:cs="宋体"/>
                <w:color w:val="000000"/>
                <w:sz w:val="20"/>
                <w:szCs w:val="20"/>
              </w:rPr>
            </w:pPr>
          </w:p>
        </w:tc>
        <w:tc>
          <w:tcPr>
            <w:tcW w:w="659" w:type="dxa"/>
            <w:vMerge w:val="continue"/>
            <w:shd w:val="clear" w:color="auto" w:fill="auto"/>
            <w:vAlign w:val="center"/>
          </w:tcPr>
          <w:p w14:paraId="5BBD73D2">
            <w:pPr>
              <w:jc w:val="center"/>
              <w:rPr>
                <w:rFonts w:ascii="宋体" w:hAnsi="宋体" w:eastAsia="宋体" w:cs="宋体"/>
                <w:color w:val="000000"/>
                <w:sz w:val="20"/>
                <w:szCs w:val="20"/>
              </w:rPr>
            </w:pPr>
          </w:p>
        </w:tc>
        <w:tc>
          <w:tcPr>
            <w:tcW w:w="640" w:type="dxa"/>
            <w:vMerge w:val="continue"/>
            <w:shd w:val="clear" w:color="auto" w:fill="auto"/>
            <w:vAlign w:val="center"/>
          </w:tcPr>
          <w:p w14:paraId="2B554CFC">
            <w:pPr>
              <w:jc w:val="center"/>
              <w:rPr>
                <w:rFonts w:ascii="宋体" w:hAnsi="宋体" w:eastAsia="宋体" w:cs="宋体"/>
                <w:color w:val="000000"/>
                <w:sz w:val="20"/>
                <w:szCs w:val="20"/>
              </w:rPr>
            </w:pPr>
          </w:p>
        </w:tc>
        <w:tc>
          <w:tcPr>
            <w:tcW w:w="4354" w:type="dxa"/>
            <w:gridSpan w:val="2"/>
            <w:shd w:val="clear" w:color="auto" w:fill="auto"/>
            <w:vAlign w:val="center"/>
          </w:tcPr>
          <w:p w14:paraId="4D59732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eastAsia="zh-CN" w:bidi="ar"/>
              </w:rPr>
              <w:t>电信普遍服务基站信号质量</w:t>
            </w:r>
            <w:r>
              <w:rPr>
                <w:rFonts w:hint="eastAsia" w:ascii="宋体" w:hAnsi="宋体" w:eastAsia="宋体" w:cs="宋体"/>
                <w:color w:val="000000"/>
                <w:kern w:val="0"/>
                <w:sz w:val="20"/>
                <w:szCs w:val="20"/>
                <w:lang w:bidi="ar"/>
              </w:rPr>
              <w:t>良好，网络速率有效支持</w:t>
            </w:r>
            <w:r>
              <w:rPr>
                <w:rFonts w:hint="eastAsia" w:ascii="宋体" w:hAnsi="宋体" w:eastAsia="宋体" w:cs="宋体"/>
                <w:color w:val="000000"/>
                <w:kern w:val="0"/>
                <w:sz w:val="20"/>
                <w:szCs w:val="20"/>
                <w:lang w:eastAsia="zh-CN" w:bidi="ar"/>
              </w:rPr>
              <w:t>在线</w:t>
            </w:r>
            <w:r>
              <w:rPr>
                <w:rFonts w:hint="eastAsia" w:ascii="宋体" w:hAnsi="宋体" w:eastAsia="宋体" w:cs="宋体"/>
                <w:color w:val="000000"/>
                <w:kern w:val="0"/>
                <w:sz w:val="20"/>
                <w:szCs w:val="20"/>
                <w:lang w:bidi="ar"/>
              </w:rPr>
              <w:t>教育、</w:t>
            </w:r>
            <w:r>
              <w:rPr>
                <w:rFonts w:hint="eastAsia" w:ascii="宋体" w:hAnsi="宋体" w:eastAsia="宋体" w:cs="宋体"/>
                <w:color w:val="000000"/>
                <w:kern w:val="0"/>
                <w:sz w:val="20"/>
                <w:szCs w:val="20"/>
                <w:lang w:eastAsia="zh-CN" w:bidi="ar"/>
              </w:rPr>
              <w:t>远程</w:t>
            </w:r>
            <w:r>
              <w:rPr>
                <w:rFonts w:hint="eastAsia" w:ascii="宋体" w:hAnsi="宋体" w:eastAsia="宋体" w:cs="宋体"/>
                <w:color w:val="000000"/>
                <w:kern w:val="0"/>
                <w:sz w:val="20"/>
                <w:szCs w:val="20"/>
                <w:lang w:bidi="ar"/>
              </w:rPr>
              <w:t>医疗、</w:t>
            </w:r>
            <w:r>
              <w:rPr>
                <w:rFonts w:hint="eastAsia" w:ascii="宋体" w:hAnsi="宋体" w:eastAsia="宋体" w:cs="宋体"/>
                <w:color w:val="000000"/>
                <w:kern w:val="0"/>
                <w:sz w:val="20"/>
                <w:szCs w:val="20"/>
                <w:lang w:eastAsia="zh-CN" w:bidi="ar"/>
              </w:rPr>
              <w:t>电子商务</w:t>
            </w:r>
            <w:r>
              <w:rPr>
                <w:rFonts w:hint="eastAsia" w:ascii="宋体" w:hAnsi="宋体" w:eastAsia="宋体" w:cs="宋体"/>
                <w:color w:val="000000"/>
                <w:kern w:val="0"/>
                <w:sz w:val="20"/>
                <w:szCs w:val="20"/>
                <w:lang w:bidi="ar"/>
              </w:rPr>
              <w:t>等业务开展</w:t>
            </w:r>
          </w:p>
        </w:tc>
        <w:tc>
          <w:tcPr>
            <w:tcW w:w="1947" w:type="dxa"/>
            <w:shd w:val="clear" w:color="auto" w:fill="auto"/>
            <w:vAlign w:val="center"/>
          </w:tcPr>
          <w:p w14:paraId="449220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4G网络下载速率≥10Mbps</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5G网络下载速率≥100</w:t>
            </w:r>
            <w:r>
              <w:rPr>
                <w:rFonts w:hint="eastAsia" w:ascii="宋体" w:hAnsi="宋体" w:eastAsia="宋体" w:cs="宋体"/>
                <w:color w:val="auto"/>
                <w:kern w:val="0"/>
                <w:sz w:val="22"/>
                <w:lang w:bidi="ar"/>
              </w:rPr>
              <w:t>Mbps</w:t>
            </w:r>
          </w:p>
        </w:tc>
        <w:tc>
          <w:tcPr>
            <w:tcW w:w="4327" w:type="dxa"/>
            <w:shd w:val="clear" w:color="auto" w:fill="auto"/>
            <w:vAlign w:val="center"/>
          </w:tcPr>
          <w:p w14:paraId="3BE991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4G网络下载速</w:t>
            </w:r>
            <w:r>
              <w:rPr>
                <w:rFonts w:hint="eastAsia" w:ascii="宋体" w:hAnsi="宋体" w:eastAsia="宋体" w:cs="宋体"/>
                <w:color w:val="auto"/>
                <w:kern w:val="0"/>
                <w:sz w:val="22"/>
                <w:lang w:bidi="ar"/>
              </w:rPr>
              <w:t>率≥10Mbps</w:t>
            </w:r>
            <w:r>
              <w:rPr>
                <w:rFonts w:hint="eastAsia" w:ascii="宋体" w:hAnsi="宋体" w:eastAsia="宋体" w:cs="宋体"/>
                <w:color w:val="auto"/>
                <w:kern w:val="0"/>
                <w:sz w:val="22"/>
                <w:lang w:bidi="ar"/>
              </w:rPr>
              <w:br w:type="textWrapping"/>
            </w:r>
            <w:r>
              <w:rPr>
                <w:rFonts w:hint="eastAsia" w:ascii="宋体" w:hAnsi="宋体" w:eastAsia="宋体" w:cs="宋体"/>
                <w:color w:val="auto"/>
                <w:kern w:val="0"/>
                <w:sz w:val="22"/>
                <w:lang w:bidi="ar"/>
              </w:rPr>
              <w:t>5G网络下载速率≥100Mbps</w:t>
            </w:r>
          </w:p>
        </w:tc>
        <w:tc>
          <w:tcPr>
            <w:tcW w:w="1701" w:type="dxa"/>
            <w:shd w:val="clear" w:color="auto" w:fill="auto"/>
            <w:vAlign w:val="center"/>
          </w:tcPr>
          <w:p w14:paraId="2FBD5A4C">
            <w:pPr>
              <w:jc w:val="center"/>
              <w:rPr>
                <w:rFonts w:ascii="宋体" w:hAnsi="宋体" w:eastAsia="宋体" w:cs="宋体"/>
                <w:color w:val="000000"/>
                <w:sz w:val="20"/>
                <w:szCs w:val="20"/>
              </w:rPr>
            </w:pPr>
          </w:p>
        </w:tc>
      </w:tr>
      <w:tr w14:paraId="432B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52" w:type="dxa"/>
            <w:vMerge w:val="continue"/>
            <w:shd w:val="clear" w:color="auto" w:fill="auto"/>
            <w:textDirection w:val="tbRlV"/>
            <w:vAlign w:val="center"/>
          </w:tcPr>
          <w:p w14:paraId="0BBE1088">
            <w:pPr>
              <w:jc w:val="center"/>
              <w:rPr>
                <w:rFonts w:ascii="宋体" w:hAnsi="宋体" w:eastAsia="宋体" w:cs="宋体"/>
                <w:color w:val="000000"/>
                <w:sz w:val="20"/>
                <w:szCs w:val="20"/>
              </w:rPr>
            </w:pPr>
          </w:p>
        </w:tc>
        <w:tc>
          <w:tcPr>
            <w:tcW w:w="659" w:type="dxa"/>
            <w:shd w:val="clear" w:color="auto" w:fill="auto"/>
            <w:vAlign w:val="center"/>
          </w:tcPr>
          <w:p w14:paraId="37975DA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640" w:type="dxa"/>
            <w:shd w:val="clear" w:color="auto" w:fill="auto"/>
            <w:vAlign w:val="center"/>
          </w:tcPr>
          <w:p w14:paraId="13B8C2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服务对象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满意度指标</w:t>
            </w:r>
          </w:p>
        </w:tc>
        <w:tc>
          <w:tcPr>
            <w:tcW w:w="4354" w:type="dxa"/>
            <w:gridSpan w:val="2"/>
            <w:shd w:val="clear" w:color="auto" w:fill="auto"/>
            <w:vAlign w:val="center"/>
          </w:tcPr>
          <w:p w14:paraId="62B24C7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群众普遍满意，未发生</w:t>
            </w:r>
            <w:r>
              <w:rPr>
                <w:rFonts w:hint="eastAsia" w:ascii="宋体" w:hAnsi="宋体" w:eastAsia="宋体" w:cs="宋体"/>
                <w:color w:val="000000"/>
                <w:kern w:val="0"/>
                <w:sz w:val="20"/>
                <w:szCs w:val="20"/>
                <w:lang w:eastAsia="zh-CN" w:bidi="ar"/>
              </w:rPr>
              <w:t>普遍</w:t>
            </w:r>
            <w:r>
              <w:rPr>
                <w:rFonts w:hint="eastAsia" w:ascii="宋体" w:hAnsi="宋体" w:eastAsia="宋体" w:cs="宋体"/>
                <w:color w:val="auto"/>
                <w:kern w:val="0"/>
                <w:sz w:val="20"/>
                <w:szCs w:val="20"/>
                <w:lang w:bidi="ar"/>
              </w:rPr>
              <w:t>服务用户</w:t>
            </w:r>
            <w:r>
              <w:rPr>
                <w:rFonts w:hint="eastAsia" w:ascii="宋体" w:hAnsi="宋体" w:eastAsia="宋体" w:cs="宋体"/>
                <w:color w:val="000000"/>
                <w:kern w:val="0"/>
                <w:sz w:val="20"/>
                <w:szCs w:val="20"/>
                <w:lang w:bidi="ar"/>
              </w:rPr>
              <w:t>投诉、基站逼迁等问题</w:t>
            </w:r>
          </w:p>
        </w:tc>
        <w:tc>
          <w:tcPr>
            <w:tcW w:w="1947" w:type="dxa"/>
            <w:shd w:val="clear" w:color="auto" w:fill="auto"/>
            <w:vAlign w:val="center"/>
          </w:tcPr>
          <w:p w14:paraId="60A7D8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满意度≥90%</w:t>
            </w:r>
          </w:p>
        </w:tc>
        <w:tc>
          <w:tcPr>
            <w:tcW w:w="4327" w:type="dxa"/>
            <w:shd w:val="clear" w:color="auto" w:fill="auto"/>
            <w:vAlign w:val="center"/>
          </w:tcPr>
          <w:p w14:paraId="358767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满意度≥90%</w:t>
            </w:r>
          </w:p>
        </w:tc>
        <w:tc>
          <w:tcPr>
            <w:tcW w:w="1701" w:type="dxa"/>
            <w:shd w:val="clear" w:color="auto" w:fill="auto"/>
            <w:vAlign w:val="center"/>
          </w:tcPr>
          <w:p w14:paraId="53CC5C7C">
            <w:pPr>
              <w:jc w:val="center"/>
              <w:rPr>
                <w:rFonts w:ascii="宋体" w:hAnsi="宋体" w:eastAsia="宋体" w:cs="宋体"/>
                <w:color w:val="000000"/>
                <w:sz w:val="20"/>
                <w:szCs w:val="20"/>
              </w:rPr>
            </w:pPr>
          </w:p>
        </w:tc>
      </w:tr>
      <w:tr w14:paraId="75C5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2" w:type="dxa"/>
            <w:shd w:val="clear" w:color="auto" w:fill="auto"/>
            <w:vAlign w:val="center"/>
          </w:tcPr>
          <w:p w14:paraId="2D0E32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说明</w:t>
            </w:r>
          </w:p>
        </w:tc>
        <w:tc>
          <w:tcPr>
            <w:tcW w:w="13628" w:type="dxa"/>
            <w:gridSpan w:val="7"/>
            <w:shd w:val="clear" w:color="auto" w:fill="auto"/>
            <w:vAlign w:val="center"/>
          </w:tcPr>
          <w:p w14:paraId="1C29D3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w:t>
            </w:r>
          </w:p>
        </w:tc>
      </w:tr>
      <w:tr w14:paraId="7F40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480" w:type="dxa"/>
            <w:gridSpan w:val="8"/>
            <w:vMerge w:val="restart"/>
            <w:shd w:val="clear" w:color="auto" w:fill="auto"/>
            <w:vAlign w:val="center"/>
          </w:tcPr>
          <w:p w14:paraId="141D206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注：1.资金使用单位按项目填报，主管部门汇总时按区域绩效目标填报。                                                                                                                                                                                                               </w:t>
            </w:r>
            <w:r>
              <w:rPr>
                <w:rStyle w:val="21"/>
                <w:rFonts w:hint="default"/>
                <w:lang w:bidi="ar"/>
              </w:rPr>
              <w:t>1.</w:t>
            </w:r>
            <w:r>
              <w:rPr>
                <w:rStyle w:val="22"/>
                <w:rFonts w:hint="default"/>
                <w:lang w:bidi="ar"/>
              </w:rPr>
              <w:t xml:space="preserve">  2.其他资金包括与中央财政资金、地方财政资金共同投入到同一项目的自有资金、社会资金、以及以前年度的结转结余资金等。                                                   </w:t>
            </w:r>
            <w:r>
              <w:rPr>
                <w:rStyle w:val="22"/>
                <w:rFonts w:hint="default"/>
                <w:lang w:bidi="ar"/>
              </w:rPr>
              <w:br w:type="textWrapping"/>
            </w:r>
            <w:r>
              <w:rPr>
                <w:rStyle w:val="22"/>
                <w:rFonts w:hint="default"/>
                <w:lang w:bidi="ar"/>
              </w:rPr>
              <w:t xml:space="preserve">    3.全年执行数是指按照国库集中支付制度要求形成的实际支出 。                                                                                                                                                           </w:t>
            </w:r>
            <w:r>
              <w:rPr>
                <w:rStyle w:val="21"/>
                <w:rFonts w:hint="default"/>
                <w:lang w:bidi="ar"/>
              </w:rPr>
              <w:t>2.</w:t>
            </w:r>
            <w:r>
              <w:rPr>
                <w:rStyle w:val="22"/>
                <w:rFonts w:hint="default"/>
                <w:lang w:bidi="ar"/>
              </w:rPr>
              <w:t xml:space="preserve">  4.资金管理情况：</w:t>
            </w:r>
            <w:r>
              <w:rPr>
                <w:rStyle w:val="22"/>
                <w:rFonts w:hint="default"/>
                <w:lang w:bidi="ar"/>
              </w:rPr>
              <w:br w:type="textWrapping"/>
            </w:r>
            <w:r>
              <w:rPr>
                <w:rStyle w:val="22"/>
                <w:rFonts w:hint="default"/>
                <w:lang w:bidi="ar"/>
              </w:rPr>
              <w:t>（1）预算执行率。根据中央财政资金、地方财政资金和其他资金的全年预算总额（A）和资金使用单位执行数（B），计算预算执行率（B/A*100%）。</w:t>
            </w:r>
            <w:r>
              <w:rPr>
                <w:rStyle w:val="22"/>
                <w:rFonts w:hint="default"/>
                <w:lang w:bidi="ar"/>
              </w:rPr>
              <w:br w:type="textWrapping"/>
            </w:r>
            <w:r>
              <w:rPr>
                <w:rStyle w:val="22"/>
                <w:rFonts w:hint="default"/>
                <w:lang w:bidi="ar"/>
              </w:rPr>
              <w:t>（2）分配科学性。严格按照转移支付管理制度以及资金管理办法规定的范围和标准分配资金。</w:t>
            </w:r>
            <w:r>
              <w:rPr>
                <w:rStyle w:val="22"/>
                <w:rFonts w:hint="default"/>
                <w:lang w:bidi="ar"/>
              </w:rPr>
              <w:br w:type="textWrapping"/>
            </w:r>
            <w:r>
              <w:rPr>
                <w:rStyle w:val="22"/>
                <w:rFonts w:hint="default"/>
                <w:lang w:bidi="ar"/>
              </w:rPr>
              <w:t>（3）下达及时性。严格按照预算法及其实施条例、转移支付管理制度规定以及资金管理办法规定的时限要求分解下达。</w:t>
            </w:r>
            <w:r>
              <w:rPr>
                <w:rStyle w:val="22"/>
                <w:rFonts w:hint="default"/>
                <w:lang w:bidi="ar"/>
              </w:rPr>
              <w:br w:type="textWrapping"/>
            </w:r>
            <w:r>
              <w:rPr>
                <w:rStyle w:val="22"/>
                <w:rFonts w:hint="default"/>
                <w:lang w:bidi="ar"/>
              </w:rPr>
              <w:t>（4）拨付合规性。杨哥按照国库集中支付制度有关规定支付资金门卫出现违规资金从国库转入财政专户或支付到预算单位实有资金账户等问题。</w:t>
            </w:r>
            <w:r>
              <w:rPr>
                <w:rStyle w:val="22"/>
                <w:rFonts w:hint="default"/>
                <w:lang w:bidi="ar"/>
              </w:rPr>
              <w:br w:type="textWrapping"/>
            </w:r>
            <w:r>
              <w:rPr>
                <w:rStyle w:val="22"/>
                <w:rFonts w:hint="default"/>
                <w:lang w:bidi="ar"/>
              </w:rPr>
              <w:t>（5）使用规范性。严格按照下达预算的科目和项目执行，未出现截留、挤占、挪用或擅自调整等问题。</w:t>
            </w:r>
            <w:r>
              <w:rPr>
                <w:rStyle w:val="22"/>
                <w:rFonts w:hint="default"/>
                <w:lang w:bidi="ar"/>
              </w:rPr>
              <w:br w:type="textWrapping"/>
            </w:r>
            <w:r>
              <w:rPr>
                <w:rStyle w:val="22"/>
                <w:rFonts w:hint="default"/>
                <w:lang w:bidi="ar"/>
              </w:rPr>
              <w:t>（6）执行准确性。按照上级下达和本级预算安排的金额执行，不存在执行数偏离预算数较多的问题。</w:t>
            </w:r>
            <w:r>
              <w:rPr>
                <w:rStyle w:val="22"/>
                <w:rFonts w:hint="default"/>
                <w:lang w:bidi="ar"/>
              </w:rPr>
              <w:br w:type="textWrapping"/>
            </w:r>
            <w:r>
              <w:rPr>
                <w:rStyle w:val="22"/>
                <w:rFonts w:hint="default"/>
                <w:lang w:bidi="ar"/>
              </w:rPr>
              <w:t>（7）预算绩效管理情况。在细化下达预算时间同步下达绩效目标，将有关资金纳入本级预算或对下转移支付绩效管理，开展绩效监控和绩效评价。</w:t>
            </w:r>
            <w:r>
              <w:rPr>
                <w:rStyle w:val="22"/>
                <w:rFonts w:hint="default"/>
                <w:lang w:bidi="ar"/>
              </w:rPr>
              <w:br w:type="textWrapping"/>
            </w:r>
            <w:r>
              <w:rPr>
                <w:rStyle w:val="22"/>
                <w:rFonts w:hint="default"/>
                <w:lang w:bidi="ar"/>
              </w:rPr>
              <w:t>（8）支出责任履行情况。对共同财政事权转移支付，按照财政事权和支出责任划分有关规定，足额安排资金履行本级支出责任。</w:t>
            </w:r>
          </w:p>
        </w:tc>
      </w:tr>
      <w:tr w14:paraId="2E6C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80" w:type="dxa"/>
            <w:gridSpan w:val="8"/>
            <w:vMerge w:val="continue"/>
            <w:shd w:val="clear" w:color="auto" w:fill="auto"/>
            <w:vAlign w:val="center"/>
          </w:tcPr>
          <w:p w14:paraId="3C8C84AD">
            <w:pPr>
              <w:rPr>
                <w:rFonts w:ascii="宋体" w:hAnsi="宋体" w:eastAsia="宋体" w:cs="宋体"/>
                <w:color w:val="000000"/>
                <w:sz w:val="18"/>
                <w:szCs w:val="18"/>
              </w:rPr>
            </w:pPr>
          </w:p>
        </w:tc>
      </w:tr>
      <w:tr w14:paraId="1141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80" w:type="dxa"/>
            <w:gridSpan w:val="8"/>
            <w:vMerge w:val="continue"/>
            <w:shd w:val="clear" w:color="auto" w:fill="auto"/>
            <w:vAlign w:val="center"/>
          </w:tcPr>
          <w:p w14:paraId="71530029">
            <w:pPr>
              <w:rPr>
                <w:rFonts w:ascii="宋体" w:hAnsi="宋体" w:eastAsia="宋体" w:cs="宋体"/>
                <w:color w:val="000000"/>
                <w:sz w:val="18"/>
                <w:szCs w:val="18"/>
              </w:rPr>
            </w:pPr>
          </w:p>
        </w:tc>
      </w:tr>
      <w:tr w14:paraId="09C4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80" w:type="dxa"/>
            <w:gridSpan w:val="8"/>
            <w:vMerge w:val="continue"/>
            <w:shd w:val="clear" w:color="auto" w:fill="auto"/>
            <w:vAlign w:val="center"/>
          </w:tcPr>
          <w:p w14:paraId="0FB612DC">
            <w:pPr>
              <w:rPr>
                <w:rFonts w:ascii="宋体" w:hAnsi="宋体" w:eastAsia="宋体" w:cs="宋体"/>
                <w:color w:val="000000"/>
                <w:sz w:val="18"/>
                <w:szCs w:val="18"/>
              </w:rPr>
            </w:pPr>
          </w:p>
        </w:tc>
      </w:tr>
      <w:tr w14:paraId="3C73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4480" w:type="dxa"/>
            <w:gridSpan w:val="8"/>
            <w:vMerge w:val="continue"/>
            <w:shd w:val="clear" w:color="auto" w:fill="auto"/>
            <w:vAlign w:val="center"/>
          </w:tcPr>
          <w:p w14:paraId="4557ADDA">
            <w:pPr>
              <w:rPr>
                <w:rFonts w:ascii="宋体" w:hAnsi="宋体" w:eastAsia="宋体" w:cs="宋体"/>
                <w:color w:val="000000"/>
                <w:sz w:val="18"/>
                <w:szCs w:val="18"/>
              </w:rPr>
            </w:pPr>
          </w:p>
        </w:tc>
      </w:tr>
    </w:tbl>
    <w:p w14:paraId="5D6C7069">
      <w:pPr>
        <w:spacing w:line="620" w:lineRule="exact"/>
        <w:ind w:left="1031" w:leftChars="186" w:hanging="640" w:hangingChars="200"/>
        <w:rPr>
          <w:rFonts w:ascii="仿宋" w:hAnsi="仿宋" w:eastAsia="仿宋"/>
          <w:sz w:val="32"/>
          <w:szCs w:val="32"/>
        </w:rPr>
      </w:pPr>
    </w:p>
    <w:sectPr>
      <w:footerReference r:id="rId3"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WinCharSetFFFF-H">
    <w:altName w:val="仿宋"/>
    <w:panose1 w:val="00000000000000000000"/>
    <w:charset w:val="86"/>
    <w:family w:val="auto"/>
    <w:pitch w:val="default"/>
    <w:sig w:usb0="00000000" w:usb1="00000000" w:usb2="00000010" w:usb3="00000000" w:csb0="00040000" w:csb1="00000000"/>
  </w:font>
  <w:font w:name="黑体-WinCharSetFFFF-H">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WinCharSetFFFF-H">
    <w:altName w:val="等线"/>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048313"/>
    </w:sdtPr>
    <w:sdtContent>
      <w:p w14:paraId="32F5A489">
        <w:pPr>
          <w:pStyle w:val="5"/>
          <w:jc w:val="center"/>
        </w:pPr>
        <w:r>
          <w:fldChar w:fldCharType="begin"/>
        </w:r>
        <w:r>
          <w:instrText xml:space="preserve">PAGE   \* MERGEFORMAT</w:instrText>
        </w:r>
        <w:r>
          <w:fldChar w:fldCharType="separate"/>
        </w:r>
        <w:r>
          <w:rPr>
            <w:lang w:val="zh-CN"/>
          </w:rPr>
          <w:t>10</w:t>
        </w:r>
        <w:r>
          <w:fldChar w:fldCharType="end"/>
        </w:r>
      </w:p>
    </w:sdtContent>
  </w:sdt>
  <w:p w14:paraId="14B5DE1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A62AF"/>
    <w:rsid w:val="00005F0D"/>
    <w:rsid w:val="00010511"/>
    <w:rsid w:val="000227F0"/>
    <w:rsid w:val="00023D92"/>
    <w:rsid w:val="00025247"/>
    <w:rsid w:val="000303A3"/>
    <w:rsid w:val="0003066F"/>
    <w:rsid w:val="000322F0"/>
    <w:rsid w:val="000359AF"/>
    <w:rsid w:val="00036150"/>
    <w:rsid w:val="00040C67"/>
    <w:rsid w:val="00041A91"/>
    <w:rsid w:val="00042E3C"/>
    <w:rsid w:val="00052E97"/>
    <w:rsid w:val="0005524A"/>
    <w:rsid w:val="00060E0A"/>
    <w:rsid w:val="00061327"/>
    <w:rsid w:val="000620E6"/>
    <w:rsid w:val="00063E73"/>
    <w:rsid w:val="0006768E"/>
    <w:rsid w:val="000677A7"/>
    <w:rsid w:val="000700FF"/>
    <w:rsid w:val="000725B9"/>
    <w:rsid w:val="00075E79"/>
    <w:rsid w:val="00090719"/>
    <w:rsid w:val="000A148D"/>
    <w:rsid w:val="000A6A07"/>
    <w:rsid w:val="000B024A"/>
    <w:rsid w:val="000B297B"/>
    <w:rsid w:val="000B4262"/>
    <w:rsid w:val="000B7203"/>
    <w:rsid w:val="000B7C20"/>
    <w:rsid w:val="000F1EBF"/>
    <w:rsid w:val="000F4BFA"/>
    <w:rsid w:val="000F60F9"/>
    <w:rsid w:val="000F6386"/>
    <w:rsid w:val="000F79BA"/>
    <w:rsid w:val="00101DB5"/>
    <w:rsid w:val="00105087"/>
    <w:rsid w:val="00105EDD"/>
    <w:rsid w:val="00110153"/>
    <w:rsid w:val="0011197A"/>
    <w:rsid w:val="00112325"/>
    <w:rsid w:val="00112FE8"/>
    <w:rsid w:val="00120F73"/>
    <w:rsid w:val="00130940"/>
    <w:rsid w:val="001335D0"/>
    <w:rsid w:val="00150F6C"/>
    <w:rsid w:val="00153989"/>
    <w:rsid w:val="0015645C"/>
    <w:rsid w:val="00162752"/>
    <w:rsid w:val="001636D3"/>
    <w:rsid w:val="001741AD"/>
    <w:rsid w:val="00174DB9"/>
    <w:rsid w:val="00181759"/>
    <w:rsid w:val="0018284A"/>
    <w:rsid w:val="00187DFD"/>
    <w:rsid w:val="00194E77"/>
    <w:rsid w:val="00196BF2"/>
    <w:rsid w:val="001974BF"/>
    <w:rsid w:val="00197D08"/>
    <w:rsid w:val="001A1ED8"/>
    <w:rsid w:val="001A2738"/>
    <w:rsid w:val="001A3DAD"/>
    <w:rsid w:val="001A4DBF"/>
    <w:rsid w:val="001A77B7"/>
    <w:rsid w:val="001B14E4"/>
    <w:rsid w:val="001B1B17"/>
    <w:rsid w:val="001B1CCD"/>
    <w:rsid w:val="001B4000"/>
    <w:rsid w:val="001C031D"/>
    <w:rsid w:val="001C35FB"/>
    <w:rsid w:val="001D0170"/>
    <w:rsid w:val="001D47CD"/>
    <w:rsid w:val="001D5083"/>
    <w:rsid w:val="001D636D"/>
    <w:rsid w:val="001D6B57"/>
    <w:rsid w:val="001E3AD0"/>
    <w:rsid w:val="001E3B9E"/>
    <w:rsid w:val="001E43E8"/>
    <w:rsid w:val="001E6603"/>
    <w:rsid w:val="001F5BDF"/>
    <w:rsid w:val="001F7D42"/>
    <w:rsid w:val="00200BDC"/>
    <w:rsid w:val="002024CD"/>
    <w:rsid w:val="00205D65"/>
    <w:rsid w:val="00213B25"/>
    <w:rsid w:val="00215437"/>
    <w:rsid w:val="002166F4"/>
    <w:rsid w:val="002205EC"/>
    <w:rsid w:val="00225618"/>
    <w:rsid w:val="00233359"/>
    <w:rsid w:val="00234785"/>
    <w:rsid w:val="002436EC"/>
    <w:rsid w:val="0025107F"/>
    <w:rsid w:val="00251EFF"/>
    <w:rsid w:val="002544EA"/>
    <w:rsid w:val="00255731"/>
    <w:rsid w:val="002558E5"/>
    <w:rsid w:val="00262742"/>
    <w:rsid w:val="00263A51"/>
    <w:rsid w:val="00263D1C"/>
    <w:rsid w:val="00270BF3"/>
    <w:rsid w:val="00280FC5"/>
    <w:rsid w:val="0028345F"/>
    <w:rsid w:val="00292E37"/>
    <w:rsid w:val="002A5640"/>
    <w:rsid w:val="002A5BEA"/>
    <w:rsid w:val="002B1FE0"/>
    <w:rsid w:val="002B382B"/>
    <w:rsid w:val="002B3A74"/>
    <w:rsid w:val="002C430B"/>
    <w:rsid w:val="002C7260"/>
    <w:rsid w:val="002D15E5"/>
    <w:rsid w:val="002D371F"/>
    <w:rsid w:val="002D4C54"/>
    <w:rsid w:val="002D712E"/>
    <w:rsid w:val="002E37F2"/>
    <w:rsid w:val="002F103C"/>
    <w:rsid w:val="002F36B8"/>
    <w:rsid w:val="00303047"/>
    <w:rsid w:val="0030704A"/>
    <w:rsid w:val="00314933"/>
    <w:rsid w:val="003154C6"/>
    <w:rsid w:val="00325DF0"/>
    <w:rsid w:val="0033678B"/>
    <w:rsid w:val="0035070E"/>
    <w:rsid w:val="00355A1E"/>
    <w:rsid w:val="003613EF"/>
    <w:rsid w:val="003624D0"/>
    <w:rsid w:val="003646E1"/>
    <w:rsid w:val="00366B4F"/>
    <w:rsid w:val="003700F6"/>
    <w:rsid w:val="0037523C"/>
    <w:rsid w:val="0037649E"/>
    <w:rsid w:val="0038046C"/>
    <w:rsid w:val="00390660"/>
    <w:rsid w:val="003918EA"/>
    <w:rsid w:val="00395D2F"/>
    <w:rsid w:val="00396ABD"/>
    <w:rsid w:val="00396D95"/>
    <w:rsid w:val="003A2F39"/>
    <w:rsid w:val="003A423C"/>
    <w:rsid w:val="003B29E9"/>
    <w:rsid w:val="003B71D4"/>
    <w:rsid w:val="003B7937"/>
    <w:rsid w:val="003C0D0D"/>
    <w:rsid w:val="003C47B4"/>
    <w:rsid w:val="003C5F2A"/>
    <w:rsid w:val="003C6926"/>
    <w:rsid w:val="003C75A3"/>
    <w:rsid w:val="003D0F68"/>
    <w:rsid w:val="003D572B"/>
    <w:rsid w:val="003D598A"/>
    <w:rsid w:val="003E0DE1"/>
    <w:rsid w:val="003E5765"/>
    <w:rsid w:val="003E720D"/>
    <w:rsid w:val="003F0ADE"/>
    <w:rsid w:val="003F319D"/>
    <w:rsid w:val="003F4315"/>
    <w:rsid w:val="003F4546"/>
    <w:rsid w:val="003F62AD"/>
    <w:rsid w:val="003F6B32"/>
    <w:rsid w:val="0040327B"/>
    <w:rsid w:val="00424FF9"/>
    <w:rsid w:val="0044507D"/>
    <w:rsid w:val="00451B56"/>
    <w:rsid w:val="004546A4"/>
    <w:rsid w:val="00454A92"/>
    <w:rsid w:val="00455A51"/>
    <w:rsid w:val="004563DE"/>
    <w:rsid w:val="00462216"/>
    <w:rsid w:val="00462DCF"/>
    <w:rsid w:val="00463D92"/>
    <w:rsid w:val="00465992"/>
    <w:rsid w:val="00466C25"/>
    <w:rsid w:val="00480A21"/>
    <w:rsid w:val="00484454"/>
    <w:rsid w:val="0048465D"/>
    <w:rsid w:val="00487DF8"/>
    <w:rsid w:val="00493DD8"/>
    <w:rsid w:val="004955C3"/>
    <w:rsid w:val="00497978"/>
    <w:rsid w:val="00497E57"/>
    <w:rsid w:val="004A11DB"/>
    <w:rsid w:val="004A124C"/>
    <w:rsid w:val="004A380B"/>
    <w:rsid w:val="004A462F"/>
    <w:rsid w:val="004A63ED"/>
    <w:rsid w:val="004A668F"/>
    <w:rsid w:val="004A7480"/>
    <w:rsid w:val="004B1612"/>
    <w:rsid w:val="004B1CA1"/>
    <w:rsid w:val="004B67A6"/>
    <w:rsid w:val="004C5107"/>
    <w:rsid w:val="004C6CEF"/>
    <w:rsid w:val="004D383A"/>
    <w:rsid w:val="004D3B20"/>
    <w:rsid w:val="004D59AE"/>
    <w:rsid w:val="004E1058"/>
    <w:rsid w:val="004E1A43"/>
    <w:rsid w:val="004E566C"/>
    <w:rsid w:val="004F25D0"/>
    <w:rsid w:val="004F37F1"/>
    <w:rsid w:val="004F5097"/>
    <w:rsid w:val="00501C85"/>
    <w:rsid w:val="00511ED1"/>
    <w:rsid w:val="005160F3"/>
    <w:rsid w:val="00516E59"/>
    <w:rsid w:val="005208F3"/>
    <w:rsid w:val="00520905"/>
    <w:rsid w:val="00535F2E"/>
    <w:rsid w:val="00536FCF"/>
    <w:rsid w:val="00542167"/>
    <w:rsid w:val="005425EA"/>
    <w:rsid w:val="00547DC0"/>
    <w:rsid w:val="0055196A"/>
    <w:rsid w:val="00551DDD"/>
    <w:rsid w:val="0055242C"/>
    <w:rsid w:val="00552690"/>
    <w:rsid w:val="0055357B"/>
    <w:rsid w:val="00554087"/>
    <w:rsid w:val="00555295"/>
    <w:rsid w:val="00556DA5"/>
    <w:rsid w:val="005621AC"/>
    <w:rsid w:val="00564455"/>
    <w:rsid w:val="00572624"/>
    <w:rsid w:val="005824D4"/>
    <w:rsid w:val="00583CD2"/>
    <w:rsid w:val="005862F2"/>
    <w:rsid w:val="00587422"/>
    <w:rsid w:val="00587914"/>
    <w:rsid w:val="0059165E"/>
    <w:rsid w:val="00592B22"/>
    <w:rsid w:val="005959D2"/>
    <w:rsid w:val="005A3314"/>
    <w:rsid w:val="005A4489"/>
    <w:rsid w:val="005B087B"/>
    <w:rsid w:val="005B0AF8"/>
    <w:rsid w:val="005C4D39"/>
    <w:rsid w:val="005D0DD7"/>
    <w:rsid w:val="005D237B"/>
    <w:rsid w:val="005D2D13"/>
    <w:rsid w:val="005D353F"/>
    <w:rsid w:val="005E2916"/>
    <w:rsid w:val="005E74BF"/>
    <w:rsid w:val="00602686"/>
    <w:rsid w:val="00606143"/>
    <w:rsid w:val="00621C30"/>
    <w:rsid w:val="00623DB7"/>
    <w:rsid w:val="00624947"/>
    <w:rsid w:val="00626E9C"/>
    <w:rsid w:val="006270D1"/>
    <w:rsid w:val="00631459"/>
    <w:rsid w:val="00635584"/>
    <w:rsid w:val="0063582A"/>
    <w:rsid w:val="006375DD"/>
    <w:rsid w:val="006435B2"/>
    <w:rsid w:val="00650215"/>
    <w:rsid w:val="006578E1"/>
    <w:rsid w:val="0066097B"/>
    <w:rsid w:val="00661E5C"/>
    <w:rsid w:val="00666D5B"/>
    <w:rsid w:val="006670A1"/>
    <w:rsid w:val="00670654"/>
    <w:rsid w:val="00673B80"/>
    <w:rsid w:val="006746C0"/>
    <w:rsid w:val="00677F59"/>
    <w:rsid w:val="00682A39"/>
    <w:rsid w:val="00690B13"/>
    <w:rsid w:val="006928BF"/>
    <w:rsid w:val="00693B5C"/>
    <w:rsid w:val="00694D01"/>
    <w:rsid w:val="006A08C8"/>
    <w:rsid w:val="006A57CC"/>
    <w:rsid w:val="006B1D30"/>
    <w:rsid w:val="006C27E7"/>
    <w:rsid w:val="006D2179"/>
    <w:rsid w:val="006D644C"/>
    <w:rsid w:val="006E1FA9"/>
    <w:rsid w:val="006E3FB5"/>
    <w:rsid w:val="006F12B9"/>
    <w:rsid w:val="006F2402"/>
    <w:rsid w:val="006F311E"/>
    <w:rsid w:val="007049F7"/>
    <w:rsid w:val="00706606"/>
    <w:rsid w:val="00711C20"/>
    <w:rsid w:val="00714206"/>
    <w:rsid w:val="00714521"/>
    <w:rsid w:val="00724121"/>
    <w:rsid w:val="00725DEE"/>
    <w:rsid w:val="00731448"/>
    <w:rsid w:val="0073147D"/>
    <w:rsid w:val="00734647"/>
    <w:rsid w:val="0073613E"/>
    <w:rsid w:val="00740537"/>
    <w:rsid w:val="0074181E"/>
    <w:rsid w:val="0074399B"/>
    <w:rsid w:val="007442DB"/>
    <w:rsid w:val="00746823"/>
    <w:rsid w:val="0075129C"/>
    <w:rsid w:val="00751EA8"/>
    <w:rsid w:val="0075273C"/>
    <w:rsid w:val="00757081"/>
    <w:rsid w:val="0076101B"/>
    <w:rsid w:val="00761658"/>
    <w:rsid w:val="00773255"/>
    <w:rsid w:val="00781904"/>
    <w:rsid w:val="00783390"/>
    <w:rsid w:val="0078354A"/>
    <w:rsid w:val="00784316"/>
    <w:rsid w:val="007932C2"/>
    <w:rsid w:val="007976B7"/>
    <w:rsid w:val="007A18F7"/>
    <w:rsid w:val="007A2F6F"/>
    <w:rsid w:val="007A3EB0"/>
    <w:rsid w:val="007A5ECB"/>
    <w:rsid w:val="007A6602"/>
    <w:rsid w:val="007B2B72"/>
    <w:rsid w:val="007B7582"/>
    <w:rsid w:val="007C5397"/>
    <w:rsid w:val="007C5B9F"/>
    <w:rsid w:val="007C76EC"/>
    <w:rsid w:val="007E1696"/>
    <w:rsid w:val="007E2842"/>
    <w:rsid w:val="007F117B"/>
    <w:rsid w:val="00801CA2"/>
    <w:rsid w:val="00803F13"/>
    <w:rsid w:val="008079AE"/>
    <w:rsid w:val="00810261"/>
    <w:rsid w:val="008211BE"/>
    <w:rsid w:val="008236B6"/>
    <w:rsid w:val="008308D7"/>
    <w:rsid w:val="00832395"/>
    <w:rsid w:val="00835E02"/>
    <w:rsid w:val="0084216F"/>
    <w:rsid w:val="00842918"/>
    <w:rsid w:val="00843799"/>
    <w:rsid w:val="00843D26"/>
    <w:rsid w:val="0084570B"/>
    <w:rsid w:val="00847167"/>
    <w:rsid w:val="00852702"/>
    <w:rsid w:val="00861993"/>
    <w:rsid w:val="008636E6"/>
    <w:rsid w:val="00864F5B"/>
    <w:rsid w:val="00866F56"/>
    <w:rsid w:val="008743E0"/>
    <w:rsid w:val="00876D63"/>
    <w:rsid w:val="00880E7E"/>
    <w:rsid w:val="00881171"/>
    <w:rsid w:val="00881CB1"/>
    <w:rsid w:val="00882842"/>
    <w:rsid w:val="0088457B"/>
    <w:rsid w:val="00894F18"/>
    <w:rsid w:val="008970A2"/>
    <w:rsid w:val="008A2CC7"/>
    <w:rsid w:val="008B0E40"/>
    <w:rsid w:val="008C1DC2"/>
    <w:rsid w:val="008C4950"/>
    <w:rsid w:val="008C49F8"/>
    <w:rsid w:val="008C4EC6"/>
    <w:rsid w:val="008C71A3"/>
    <w:rsid w:val="008C77B3"/>
    <w:rsid w:val="008D0F40"/>
    <w:rsid w:val="008D354C"/>
    <w:rsid w:val="008D3A9F"/>
    <w:rsid w:val="008D3D97"/>
    <w:rsid w:val="008D4E4C"/>
    <w:rsid w:val="008D5279"/>
    <w:rsid w:val="008D6396"/>
    <w:rsid w:val="008E4D8A"/>
    <w:rsid w:val="008F0E46"/>
    <w:rsid w:val="008F2075"/>
    <w:rsid w:val="008F2629"/>
    <w:rsid w:val="0090312A"/>
    <w:rsid w:val="00910A54"/>
    <w:rsid w:val="00911539"/>
    <w:rsid w:val="00913016"/>
    <w:rsid w:val="009201BF"/>
    <w:rsid w:val="00920382"/>
    <w:rsid w:val="00921CF5"/>
    <w:rsid w:val="009242D6"/>
    <w:rsid w:val="00933F79"/>
    <w:rsid w:val="00934077"/>
    <w:rsid w:val="00934E0D"/>
    <w:rsid w:val="00941A62"/>
    <w:rsid w:val="009478F3"/>
    <w:rsid w:val="00951715"/>
    <w:rsid w:val="0095435A"/>
    <w:rsid w:val="009573BD"/>
    <w:rsid w:val="00957D1F"/>
    <w:rsid w:val="00961F4C"/>
    <w:rsid w:val="00964336"/>
    <w:rsid w:val="0096483F"/>
    <w:rsid w:val="0097125A"/>
    <w:rsid w:val="00977267"/>
    <w:rsid w:val="00980BE9"/>
    <w:rsid w:val="00981A08"/>
    <w:rsid w:val="0098225C"/>
    <w:rsid w:val="009824F9"/>
    <w:rsid w:val="00982B02"/>
    <w:rsid w:val="00994CC8"/>
    <w:rsid w:val="00997416"/>
    <w:rsid w:val="009A27B5"/>
    <w:rsid w:val="009A6007"/>
    <w:rsid w:val="009B0A4B"/>
    <w:rsid w:val="009B1E8C"/>
    <w:rsid w:val="009C0A1E"/>
    <w:rsid w:val="009D02FD"/>
    <w:rsid w:val="009D24CA"/>
    <w:rsid w:val="009D7DEB"/>
    <w:rsid w:val="009E185F"/>
    <w:rsid w:val="00A00782"/>
    <w:rsid w:val="00A011B4"/>
    <w:rsid w:val="00A13584"/>
    <w:rsid w:val="00A16C64"/>
    <w:rsid w:val="00A21A14"/>
    <w:rsid w:val="00A25970"/>
    <w:rsid w:val="00A2767E"/>
    <w:rsid w:val="00A36118"/>
    <w:rsid w:val="00A442D9"/>
    <w:rsid w:val="00A51C4E"/>
    <w:rsid w:val="00A55192"/>
    <w:rsid w:val="00A6274F"/>
    <w:rsid w:val="00A65F16"/>
    <w:rsid w:val="00A65FA9"/>
    <w:rsid w:val="00A7122E"/>
    <w:rsid w:val="00A71BE7"/>
    <w:rsid w:val="00A77387"/>
    <w:rsid w:val="00A8068B"/>
    <w:rsid w:val="00A86BA2"/>
    <w:rsid w:val="00A87675"/>
    <w:rsid w:val="00A9180B"/>
    <w:rsid w:val="00A977DE"/>
    <w:rsid w:val="00AA42EA"/>
    <w:rsid w:val="00AA5117"/>
    <w:rsid w:val="00AA52C2"/>
    <w:rsid w:val="00AA5E73"/>
    <w:rsid w:val="00AA60B5"/>
    <w:rsid w:val="00AB44A9"/>
    <w:rsid w:val="00AB51B5"/>
    <w:rsid w:val="00AB5E4C"/>
    <w:rsid w:val="00AB64C0"/>
    <w:rsid w:val="00AC4BBB"/>
    <w:rsid w:val="00AD2154"/>
    <w:rsid w:val="00AD566E"/>
    <w:rsid w:val="00AD589B"/>
    <w:rsid w:val="00AD58FB"/>
    <w:rsid w:val="00AD7CA9"/>
    <w:rsid w:val="00AE120F"/>
    <w:rsid w:val="00AE2B1A"/>
    <w:rsid w:val="00AF1CA2"/>
    <w:rsid w:val="00AF5F8F"/>
    <w:rsid w:val="00AF614A"/>
    <w:rsid w:val="00B01771"/>
    <w:rsid w:val="00B03FFC"/>
    <w:rsid w:val="00B04531"/>
    <w:rsid w:val="00B06224"/>
    <w:rsid w:val="00B07902"/>
    <w:rsid w:val="00B20650"/>
    <w:rsid w:val="00B2108D"/>
    <w:rsid w:val="00B218E7"/>
    <w:rsid w:val="00B26D71"/>
    <w:rsid w:val="00B30759"/>
    <w:rsid w:val="00B33EC4"/>
    <w:rsid w:val="00B42143"/>
    <w:rsid w:val="00B56BF6"/>
    <w:rsid w:val="00B65959"/>
    <w:rsid w:val="00B7448C"/>
    <w:rsid w:val="00B756CE"/>
    <w:rsid w:val="00B775AF"/>
    <w:rsid w:val="00B8632D"/>
    <w:rsid w:val="00B90E20"/>
    <w:rsid w:val="00B94A62"/>
    <w:rsid w:val="00B94BA1"/>
    <w:rsid w:val="00B964E7"/>
    <w:rsid w:val="00B97D10"/>
    <w:rsid w:val="00BA754F"/>
    <w:rsid w:val="00BB6EFB"/>
    <w:rsid w:val="00BC0299"/>
    <w:rsid w:val="00BC289B"/>
    <w:rsid w:val="00BC319A"/>
    <w:rsid w:val="00BC5122"/>
    <w:rsid w:val="00BC57BF"/>
    <w:rsid w:val="00BD1EA6"/>
    <w:rsid w:val="00BD5576"/>
    <w:rsid w:val="00BD6449"/>
    <w:rsid w:val="00BE56CB"/>
    <w:rsid w:val="00BE5ACF"/>
    <w:rsid w:val="00BF2A27"/>
    <w:rsid w:val="00BF3B42"/>
    <w:rsid w:val="00BF4A56"/>
    <w:rsid w:val="00BF77D3"/>
    <w:rsid w:val="00C018B6"/>
    <w:rsid w:val="00C0230F"/>
    <w:rsid w:val="00C02853"/>
    <w:rsid w:val="00C07A45"/>
    <w:rsid w:val="00C10D0B"/>
    <w:rsid w:val="00C11198"/>
    <w:rsid w:val="00C13C1B"/>
    <w:rsid w:val="00C20D3C"/>
    <w:rsid w:val="00C22FDB"/>
    <w:rsid w:val="00C2732B"/>
    <w:rsid w:val="00C34837"/>
    <w:rsid w:val="00C40CB7"/>
    <w:rsid w:val="00C46069"/>
    <w:rsid w:val="00C46EEE"/>
    <w:rsid w:val="00C51156"/>
    <w:rsid w:val="00C5170D"/>
    <w:rsid w:val="00C57E87"/>
    <w:rsid w:val="00C60655"/>
    <w:rsid w:val="00C63D63"/>
    <w:rsid w:val="00C63E01"/>
    <w:rsid w:val="00C66399"/>
    <w:rsid w:val="00C754AE"/>
    <w:rsid w:val="00C771C1"/>
    <w:rsid w:val="00C81D6F"/>
    <w:rsid w:val="00C8720F"/>
    <w:rsid w:val="00C87A54"/>
    <w:rsid w:val="00C93226"/>
    <w:rsid w:val="00CA1374"/>
    <w:rsid w:val="00CA4819"/>
    <w:rsid w:val="00CA62AF"/>
    <w:rsid w:val="00CB2D51"/>
    <w:rsid w:val="00CB382A"/>
    <w:rsid w:val="00CB6590"/>
    <w:rsid w:val="00CB7281"/>
    <w:rsid w:val="00CB7C1C"/>
    <w:rsid w:val="00CC1F2D"/>
    <w:rsid w:val="00CC3F0F"/>
    <w:rsid w:val="00CC48FE"/>
    <w:rsid w:val="00CC6D47"/>
    <w:rsid w:val="00CC77D1"/>
    <w:rsid w:val="00CD2B42"/>
    <w:rsid w:val="00CE791F"/>
    <w:rsid w:val="00CF03A4"/>
    <w:rsid w:val="00CF19D5"/>
    <w:rsid w:val="00CF4C9D"/>
    <w:rsid w:val="00CF7B66"/>
    <w:rsid w:val="00CF7C72"/>
    <w:rsid w:val="00D00756"/>
    <w:rsid w:val="00D06EF7"/>
    <w:rsid w:val="00D127C0"/>
    <w:rsid w:val="00D15A62"/>
    <w:rsid w:val="00D2105A"/>
    <w:rsid w:val="00D21A12"/>
    <w:rsid w:val="00D23B32"/>
    <w:rsid w:val="00D32A48"/>
    <w:rsid w:val="00D33FDF"/>
    <w:rsid w:val="00D34C18"/>
    <w:rsid w:val="00D361EE"/>
    <w:rsid w:val="00D40D35"/>
    <w:rsid w:val="00D42C24"/>
    <w:rsid w:val="00D478AC"/>
    <w:rsid w:val="00D5007D"/>
    <w:rsid w:val="00D51B0C"/>
    <w:rsid w:val="00D54120"/>
    <w:rsid w:val="00D62FDF"/>
    <w:rsid w:val="00D63386"/>
    <w:rsid w:val="00D63C69"/>
    <w:rsid w:val="00D6703C"/>
    <w:rsid w:val="00D757C1"/>
    <w:rsid w:val="00D76253"/>
    <w:rsid w:val="00D82C6A"/>
    <w:rsid w:val="00D8606D"/>
    <w:rsid w:val="00D86B2E"/>
    <w:rsid w:val="00D90506"/>
    <w:rsid w:val="00D92DB2"/>
    <w:rsid w:val="00D97305"/>
    <w:rsid w:val="00DA5488"/>
    <w:rsid w:val="00DA7079"/>
    <w:rsid w:val="00DB0813"/>
    <w:rsid w:val="00DC064E"/>
    <w:rsid w:val="00DC1868"/>
    <w:rsid w:val="00DC1FA6"/>
    <w:rsid w:val="00DC6D9B"/>
    <w:rsid w:val="00DD0A5B"/>
    <w:rsid w:val="00DE0450"/>
    <w:rsid w:val="00DE627B"/>
    <w:rsid w:val="00DE7CB2"/>
    <w:rsid w:val="00DF085B"/>
    <w:rsid w:val="00DF6ACB"/>
    <w:rsid w:val="00E02067"/>
    <w:rsid w:val="00E03197"/>
    <w:rsid w:val="00E1034F"/>
    <w:rsid w:val="00E143CF"/>
    <w:rsid w:val="00E16E77"/>
    <w:rsid w:val="00E16F0B"/>
    <w:rsid w:val="00E3173D"/>
    <w:rsid w:val="00E3238F"/>
    <w:rsid w:val="00E35DC2"/>
    <w:rsid w:val="00E4083C"/>
    <w:rsid w:val="00E41798"/>
    <w:rsid w:val="00E457AE"/>
    <w:rsid w:val="00E47D90"/>
    <w:rsid w:val="00E54574"/>
    <w:rsid w:val="00E56CF0"/>
    <w:rsid w:val="00E63F58"/>
    <w:rsid w:val="00E643D3"/>
    <w:rsid w:val="00E67BD1"/>
    <w:rsid w:val="00E7309D"/>
    <w:rsid w:val="00E87B54"/>
    <w:rsid w:val="00E91100"/>
    <w:rsid w:val="00E91675"/>
    <w:rsid w:val="00EA10A6"/>
    <w:rsid w:val="00EA3D15"/>
    <w:rsid w:val="00EA6739"/>
    <w:rsid w:val="00EB0487"/>
    <w:rsid w:val="00EB22BC"/>
    <w:rsid w:val="00EB6B47"/>
    <w:rsid w:val="00EC5331"/>
    <w:rsid w:val="00ED18AC"/>
    <w:rsid w:val="00ED1EAA"/>
    <w:rsid w:val="00ED6C36"/>
    <w:rsid w:val="00EE0C23"/>
    <w:rsid w:val="00EE5A46"/>
    <w:rsid w:val="00EF3049"/>
    <w:rsid w:val="00F03393"/>
    <w:rsid w:val="00F05C6C"/>
    <w:rsid w:val="00F11C25"/>
    <w:rsid w:val="00F15CC9"/>
    <w:rsid w:val="00F22AC7"/>
    <w:rsid w:val="00F355C9"/>
    <w:rsid w:val="00F50A6C"/>
    <w:rsid w:val="00F50DB3"/>
    <w:rsid w:val="00F5203D"/>
    <w:rsid w:val="00F5295E"/>
    <w:rsid w:val="00F5485F"/>
    <w:rsid w:val="00F63E95"/>
    <w:rsid w:val="00F76E8B"/>
    <w:rsid w:val="00F8222C"/>
    <w:rsid w:val="00F845B9"/>
    <w:rsid w:val="00F95B85"/>
    <w:rsid w:val="00F95F2B"/>
    <w:rsid w:val="00FA0DC0"/>
    <w:rsid w:val="00FA1425"/>
    <w:rsid w:val="00FA5B3B"/>
    <w:rsid w:val="00FA5CE2"/>
    <w:rsid w:val="00FA6575"/>
    <w:rsid w:val="00FB23AB"/>
    <w:rsid w:val="00FB3C4F"/>
    <w:rsid w:val="00FB4827"/>
    <w:rsid w:val="00FB671A"/>
    <w:rsid w:val="00FB7E57"/>
    <w:rsid w:val="00FC2816"/>
    <w:rsid w:val="00FC54CE"/>
    <w:rsid w:val="00FC695E"/>
    <w:rsid w:val="00FD0EC9"/>
    <w:rsid w:val="00FD2DAF"/>
    <w:rsid w:val="00FD628F"/>
    <w:rsid w:val="00FE012C"/>
    <w:rsid w:val="00FE1DCD"/>
    <w:rsid w:val="00FE4FA7"/>
    <w:rsid w:val="00FF1382"/>
    <w:rsid w:val="00FF5952"/>
    <w:rsid w:val="0C387165"/>
    <w:rsid w:val="0E2A4FC0"/>
    <w:rsid w:val="0E7B6CC7"/>
    <w:rsid w:val="0F0460BB"/>
    <w:rsid w:val="10262C63"/>
    <w:rsid w:val="159478BD"/>
    <w:rsid w:val="18C34ABA"/>
    <w:rsid w:val="1BBD2159"/>
    <w:rsid w:val="1BBE6445"/>
    <w:rsid w:val="23575F13"/>
    <w:rsid w:val="241D0191"/>
    <w:rsid w:val="269D7ACA"/>
    <w:rsid w:val="298B6545"/>
    <w:rsid w:val="2C3B319A"/>
    <w:rsid w:val="2E496043"/>
    <w:rsid w:val="2F045D38"/>
    <w:rsid w:val="2FA7678A"/>
    <w:rsid w:val="301B3A0F"/>
    <w:rsid w:val="33A45AC9"/>
    <w:rsid w:val="36696690"/>
    <w:rsid w:val="366E2AEA"/>
    <w:rsid w:val="391D07F7"/>
    <w:rsid w:val="3A211C22"/>
    <w:rsid w:val="3A4A561C"/>
    <w:rsid w:val="3CD95ADA"/>
    <w:rsid w:val="3E216694"/>
    <w:rsid w:val="3E5C76CC"/>
    <w:rsid w:val="41A2478F"/>
    <w:rsid w:val="41E719A3"/>
    <w:rsid w:val="43284021"/>
    <w:rsid w:val="435B61A4"/>
    <w:rsid w:val="4537679D"/>
    <w:rsid w:val="4AA8252C"/>
    <w:rsid w:val="4AB926F1"/>
    <w:rsid w:val="4AB94CAC"/>
    <w:rsid w:val="4B774FCB"/>
    <w:rsid w:val="50601AF6"/>
    <w:rsid w:val="509176A9"/>
    <w:rsid w:val="52F43F1F"/>
    <w:rsid w:val="530E727F"/>
    <w:rsid w:val="54247055"/>
    <w:rsid w:val="58B46945"/>
    <w:rsid w:val="5B50463A"/>
    <w:rsid w:val="67030E11"/>
    <w:rsid w:val="6B071880"/>
    <w:rsid w:val="6B19056F"/>
    <w:rsid w:val="6BAA566B"/>
    <w:rsid w:val="6C842481"/>
    <w:rsid w:val="6DCA78FF"/>
    <w:rsid w:val="6FED2C09"/>
    <w:rsid w:val="70A1703D"/>
    <w:rsid w:val="70B31829"/>
    <w:rsid w:val="70CD6084"/>
    <w:rsid w:val="718D75C1"/>
    <w:rsid w:val="76525133"/>
    <w:rsid w:val="786268E8"/>
    <w:rsid w:val="78B11DE7"/>
    <w:rsid w:val="7AB94F83"/>
    <w:rsid w:val="7B75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99"/>
    <w:rPr>
      <w:szCs w:val="24"/>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unhideWhenUsed/>
    <w:qFormat/>
    <w:uiPriority w:val="0"/>
    <w:pPr>
      <w:ind w:firstLine="420" w:firstLineChars="200"/>
    </w:pPr>
    <w:rPr>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正文3"/>
    <w:basedOn w:val="1"/>
    <w:qFormat/>
    <w:uiPriority w:val="0"/>
    <w:pPr>
      <w:widowControl/>
    </w:pPr>
    <w:rPr>
      <w:rFonts w:ascii="Times New Roman" w:hAnsi="Times New Roman" w:eastAsia="宋体" w:cs="Times New Roman"/>
      <w:kern w:val="0"/>
      <w:szCs w:val="21"/>
    </w:rPr>
  </w:style>
  <w:style w:type="character" w:customStyle="1" w:styleId="14">
    <w:name w:val="批注框文本 Char"/>
    <w:basedOn w:val="10"/>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0"/>
    <w:link w:val="2"/>
    <w:qFormat/>
    <w:uiPriority w:val="99"/>
    <w:rPr>
      <w:szCs w:val="24"/>
    </w:rPr>
  </w:style>
  <w:style w:type="character" w:customStyle="1" w:styleId="17">
    <w:name w:val="font112"/>
    <w:basedOn w:val="10"/>
    <w:qFormat/>
    <w:uiPriority w:val="0"/>
    <w:rPr>
      <w:rFonts w:hint="eastAsia" w:ascii="宋体" w:hAnsi="宋体" w:eastAsia="宋体" w:cs="宋体"/>
      <w:color w:val="000000"/>
      <w:sz w:val="32"/>
      <w:szCs w:val="32"/>
      <w:u w:val="none"/>
    </w:rPr>
  </w:style>
  <w:style w:type="character" w:customStyle="1" w:styleId="18">
    <w:name w:val="font21"/>
    <w:basedOn w:val="10"/>
    <w:qFormat/>
    <w:uiPriority w:val="0"/>
    <w:rPr>
      <w:rFonts w:hint="eastAsia" w:ascii="宋体" w:hAnsi="宋体" w:eastAsia="宋体" w:cs="宋体"/>
      <w:b/>
      <w:bCs/>
      <w:color w:val="000000"/>
      <w:sz w:val="32"/>
      <w:szCs w:val="32"/>
      <w:u w:val="none"/>
    </w:rPr>
  </w:style>
  <w:style w:type="character" w:customStyle="1" w:styleId="19">
    <w:name w:val="font121"/>
    <w:basedOn w:val="10"/>
    <w:qFormat/>
    <w:uiPriority w:val="0"/>
    <w:rPr>
      <w:rFonts w:hint="eastAsia" w:ascii="宋体" w:hAnsi="宋体" w:eastAsia="宋体" w:cs="宋体"/>
      <w:color w:val="000000"/>
      <w:sz w:val="20"/>
      <w:szCs w:val="20"/>
      <w:u w:val="none"/>
    </w:rPr>
  </w:style>
  <w:style w:type="character" w:customStyle="1" w:styleId="20">
    <w:name w:val="font61"/>
    <w:basedOn w:val="10"/>
    <w:qFormat/>
    <w:uiPriority w:val="0"/>
    <w:rPr>
      <w:rFonts w:hint="eastAsia" w:ascii="宋体" w:hAnsi="宋体" w:eastAsia="宋体" w:cs="宋体"/>
      <w:color w:val="000000"/>
      <w:sz w:val="20"/>
      <w:szCs w:val="20"/>
      <w:u w:val="none"/>
    </w:rPr>
  </w:style>
  <w:style w:type="character" w:customStyle="1" w:styleId="21">
    <w:name w:val="font131"/>
    <w:basedOn w:val="10"/>
    <w:qFormat/>
    <w:uiPriority w:val="0"/>
    <w:rPr>
      <w:rFonts w:hint="eastAsia" w:ascii="宋体" w:hAnsi="宋体" w:eastAsia="宋体" w:cs="宋体"/>
      <w:color w:val="FFFFCC"/>
      <w:sz w:val="18"/>
      <w:szCs w:val="18"/>
      <w:u w:val="none"/>
    </w:rPr>
  </w:style>
  <w:style w:type="character" w:customStyle="1" w:styleId="22">
    <w:name w:val="font1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98441-17B9-4641-B2C5-85F564CEAFC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4</Pages>
  <Words>3986</Words>
  <Characters>4545</Characters>
  <Lines>159</Lines>
  <Paragraphs>67</Paragraphs>
  <TotalTime>2</TotalTime>
  <ScaleCrop>false</ScaleCrop>
  <LinksUpToDate>false</LinksUpToDate>
  <CharactersWithSpaces>4638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2019-03-29T02:00:00Z</dcterms:created>
  <dc:creator>张凤</dc:creator>
  <cp:lastModifiedBy>A</cp:lastModifiedBy>
  <cp:lastPrinted>2023-04-24T02:10:00Z</cp:lastPrinted>
  <dcterms:modified xsi:type="dcterms:W3CDTF">2025-03-27T06:13:15Z</dcterms:modified>
  <cp:revision>627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eyJoZGlkIjoiMWQyM2VkNmQ0NTU5YTY4NTdhNDI1ZWFjMGVmNjBjMWUifQ==</vt:lpwstr>
  </property>
  <property fmtid="{D5CDD505-2E9C-101B-9397-08002B2CF9AE}" pid="3" name="KSOProductBuildVer">
    <vt:lpwstr>2052-12.1.0.20305</vt:lpwstr>
  </property>
  <property fmtid="{D5CDD505-2E9C-101B-9397-08002B2CF9AE}" pid="4" name="ICV">
    <vt:lpwstr>52B09FD52CA54B6AB502313357003C16_12</vt:lpwstr>
  </property>
</Properties>
</file>